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CD1BC1">
      <w:pPr>
        <w:spacing w:line="240" w:lineRule="atLeast"/>
        <w:jc w:val="center"/>
        <w:rPr>
          <w:rFonts w:ascii="宋体" w:cs="Times New Roman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11290300</wp:posOffset>
            </wp:positionH>
            <wp:positionV relativeFrom="topMargin">
              <wp:posOffset>10833100</wp:posOffset>
            </wp:positionV>
            <wp:extent cx="355600" cy="317500"/>
            <wp:wrapNone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41142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/>
          <w:bCs/>
          <w:color w:val="000000"/>
          <w:sz w:val="24"/>
          <w:szCs w:val="24"/>
        </w:rPr>
        <w:t>2019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－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2020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学年度上学期期末质量监测</w:t>
      </w:r>
    </w:p>
    <w:p w:rsidR="00CD1BC1">
      <w:pPr>
        <w:spacing w:line="240" w:lineRule="atLeast"/>
        <w:jc w:val="center"/>
        <w:rPr>
          <w:rFonts w:ascii="宋体" w:cs="Times New Roman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八年级语文试卷参考</w:t>
      </w:r>
      <w:r>
        <w:rPr>
          <w:rFonts w:cs="宋体" w:hint="eastAsia"/>
          <w:b/>
          <w:bCs/>
          <w:sz w:val="24"/>
          <w:szCs w:val="24"/>
        </w:rPr>
        <w:t>答案</w:t>
      </w:r>
    </w:p>
    <w:p w:rsidR="00CD1BC1">
      <w:pPr>
        <w:rPr>
          <w:rFonts w:cs="Times New Roman"/>
        </w:rPr>
      </w:pPr>
      <w:r>
        <w:rPr>
          <w:rFonts w:cs="宋体" w:hint="eastAsia"/>
        </w:rPr>
        <w:t>一、知识积累及运用（第</w:t>
      </w:r>
      <w:r>
        <w:t>1—9</w:t>
      </w:r>
      <w:r>
        <w:rPr>
          <w:rFonts w:cs="宋体" w:hint="eastAsia"/>
        </w:rPr>
        <w:t>题，共</w:t>
      </w:r>
      <w:r>
        <w:t>27</w:t>
      </w:r>
      <w:r>
        <w:rPr>
          <w:rFonts w:cs="宋体" w:hint="eastAsia"/>
        </w:rPr>
        <w:t>分）</w:t>
      </w:r>
    </w:p>
    <w:p w:rsidR="00CD1BC1">
      <w:pPr>
        <w:rPr>
          <w:rFonts w:cs="Times New Roman"/>
        </w:rPr>
      </w:pPr>
      <w:r>
        <w:t>1.  </w:t>
      </w:r>
      <w:r>
        <w:rPr>
          <w:rFonts w:ascii="宋体" w:hAnsi="宋体" w:cs="宋体"/>
        </w:rPr>
        <w:t xml:space="preserve"> B</w:t>
      </w:r>
      <w:r>
        <w:rPr>
          <w:rFonts w:cs="Times New Roman"/>
        </w:rPr>
        <w:t> </w:t>
      </w:r>
      <w:r>
        <w:t>2.  </w:t>
      </w:r>
      <w:r>
        <w:rPr>
          <w:rFonts w:ascii="宋体" w:hAnsi="宋体" w:cs="宋体"/>
        </w:rPr>
        <w:t xml:space="preserve"> C    </w:t>
      </w:r>
      <w:r>
        <w:t>3.  </w:t>
      </w:r>
      <w:r>
        <w:rPr>
          <w:rFonts w:ascii="宋体" w:hAnsi="宋体" w:cs="宋体"/>
        </w:rPr>
        <w:t xml:space="preserve">B  </w:t>
      </w:r>
      <w:r>
        <w:t>4. </w:t>
      </w:r>
      <w:r>
        <w:rPr>
          <w:rFonts w:ascii="宋体" w:hAnsi="宋体" w:cs="宋体"/>
        </w:rPr>
        <w:t xml:space="preserve"> D </w:t>
      </w:r>
      <w:r>
        <w:rPr>
          <w:rFonts w:cs="Times New Roman"/>
        </w:rPr>
        <w:t> </w:t>
      </w:r>
      <w:r>
        <w:t xml:space="preserve">   5.</w:t>
      </w:r>
      <w:r>
        <w:rPr>
          <w:rFonts w:ascii="宋体" w:hAnsi="宋体" w:cs="宋体"/>
        </w:rPr>
        <w:t xml:space="preserve">C   </w:t>
      </w:r>
      <w:r>
        <w:rPr>
          <w:rFonts w:cs="宋体" w:hint="eastAsia"/>
        </w:rPr>
        <w:t>评分说明：</w:t>
      </w:r>
      <w:r>
        <w:t>1--5</w:t>
      </w:r>
      <w:r>
        <w:rPr>
          <w:rFonts w:cs="宋体" w:hint="eastAsia"/>
        </w:rPr>
        <w:t>题，每题</w:t>
      </w:r>
      <w:r>
        <w:t>2</w:t>
      </w:r>
      <w:r>
        <w:rPr>
          <w:rFonts w:cs="宋体" w:hint="eastAsia"/>
        </w:rPr>
        <w:t>分</w:t>
      </w:r>
    </w:p>
    <w:p w:rsidR="00CD1BC1">
      <w:pPr>
        <w:rPr>
          <w:rFonts w:cs="Times New Roman"/>
        </w:rPr>
      </w:pPr>
      <w:r>
        <w:t>6.  </w:t>
      </w:r>
      <w:r>
        <w:rPr>
          <w:rFonts w:cs="宋体" w:hint="eastAsia"/>
        </w:rPr>
        <w:t>示例：</w:t>
      </w:r>
      <w:r>
        <w:rPr>
          <w:rFonts w:ascii="宋体" w:hAnsi="宋体" w:cs="宋体" w:hint="eastAsia"/>
        </w:rPr>
        <w:t>读书，使人胸襟开阔，豁达晓畅。</w:t>
      </w:r>
      <w:r>
        <w:rPr>
          <w:rFonts w:ascii="宋体" w:cs="Times New Roman"/>
        </w:rPr>
        <w:t> </w:t>
      </w:r>
      <w:r>
        <w:rPr>
          <w:rFonts w:ascii="宋体" w:hAnsi="宋体" w:cs="宋体"/>
        </w:rPr>
        <w:t xml:space="preserve"> </w:t>
      </w:r>
      <w:r>
        <w:rPr>
          <w:rFonts w:cs="宋体" w:hint="eastAsia"/>
        </w:rPr>
        <w:t>评分说明：（</w:t>
      </w:r>
      <w:r>
        <w:t>2</w:t>
      </w:r>
      <w:r>
        <w:rPr>
          <w:rFonts w:cs="宋体" w:hint="eastAsia"/>
        </w:rPr>
        <w:t>分）语意连贯，意思对即可。</w:t>
      </w:r>
    </w:p>
    <w:p w:rsidR="00CD1BC1">
      <w:pPr>
        <w:numPr>
          <w:ilvl w:val="0"/>
          <w:numId w:val="1"/>
        </w:numPr>
        <w:rPr>
          <w:rFonts w:cs="Times New Roman"/>
        </w:rPr>
      </w:pPr>
      <w:r>
        <w:rPr>
          <w:rFonts w:cs="宋体" w:hint="eastAsia"/>
        </w:rPr>
        <w:t>（</w:t>
      </w:r>
      <w:r>
        <w:t>1</w:t>
      </w:r>
      <w:r>
        <w:rPr>
          <w:rFonts w:cs="宋体" w:hint="eastAsia"/>
        </w:rPr>
        <w:t>）格式方面的：</w:t>
      </w:r>
      <w:r>
        <w:t xml:space="preserve"> </w:t>
      </w:r>
      <w:r>
        <w:rPr>
          <w:rFonts w:ascii="宋体" w:hAnsi="宋体" w:cs="宋体" w:hint="eastAsia"/>
        </w:rPr>
        <w:t>称呼应顶格写</w:t>
      </w:r>
      <w:r>
        <w:rPr>
          <w:rFonts w:cs="宋体" w:hint="eastAsia"/>
        </w:rPr>
        <w:t>（</w:t>
      </w:r>
      <w:r>
        <w:t>2</w:t>
      </w:r>
      <w:r>
        <w:rPr>
          <w:rFonts w:cs="宋体" w:hint="eastAsia"/>
        </w:rPr>
        <w:t>）内容方面的：</w:t>
      </w:r>
      <w:r>
        <w:rPr>
          <w:rFonts w:ascii="宋体" w:hAnsi="宋体" w:cs="宋体" w:hint="eastAsia"/>
        </w:rPr>
        <w:t>我会回来改为晚上五点准时回来</w:t>
      </w:r>
      <w:r>
        <w:rPr>
          <w:rFonts w:ascii="宋体" w:hAnsi="宋体" w:cs="宋体"/>
        </w:rPr>
        <w:t xml:space="preserve">     </w:t>
      </w:r>
      <w:r>
        <w:rPr>
          <w:rFonts w:cs="宋体" w:hint="eastAsia"/>
        </w:rPr>
        <w:t>评分说明：</w:t>
      </w:r>
      <w:r>
        <w:rPr>
          <w:rFonts w:cs="Times New Roman"/>
        </w:rPr>
        <w:t> </w:t>
      </w:r>
      <w:r>
        <w:rPr>
          <w:rFonts w:cs="宋体" w:hint="eastAsia"/>
        </w:rPr>
        <w:t>（</w:t>
      </w:r>
      <w:r>
        <w:t>2</w:t>
      </w:r>
      <w:r>
        <w:rPr>
          <w:rFonts w:cs="宋体" w:hint="eastAsia"/>
        </w:rPr>
        <w:t>分）每空</w:t>
      </w:r>
      <w:r>
        <w:t>1</w:t>
      </w:r>
      <w:r>
        <w:rPr>
          <w:rFonts w:cs="宋体" w:hint="eastAsia"/>
        </w:rPr>
        <w:t>分。</w:t>
      </w:r>
    </w:p>
    <w:p w:rsidR="00CD1BC1">
      <w:pPr>
        <w:numPr>
          <w:ilvl w:val="0"/>
          <w:numId w:val="1"/>
        </w:numPr>
        <w:rPr>
          <w:rFonts w:cs="Times New Roman"/>
        </w:rPr>
      </w:pPr>
      <w:r>
        <w:rPr>
          <w:rFonts w:eastAsia="Times New Roman" w:cs="Times New Roman"/>
        </w:rPr>
        <w:t>  </w:t>
      </w:r>
      <w:r>
        <w:rPr>
          <w:rFonts w:cs="宋体" w:hint="eastAsia"/>
        </w:rPr>
        <w:t>（</w:t>
      </w:r>
      <w:r>
        <w:t>1</w:t>
      </w:r>
      <w:r>
        <w:rPr>
          <w:rFonts w:cs="宋体" w:hint="eastAsia"/>
        </w:rPr>
        <w:t>）</w:t>
      </w:r>
      <w:r>
        <w:rPr>
          <w:rFonts w:ascii="宋体" w:hAnsi="宋体" w:cs="宋体" w:hint="eastAsia"/>
        </w:rPr>
        <w:t>路远莫致之</w:t>
      </w:r>
      <w:r>
        <w:rPr>
          <w:rFonts w:cs="宋体" w:hint="eastAsia"/>
        </w:rPr>
        <w:t>（</w:t>
      </w:r>
      <w:r>
        <w:t>2</w:t>
      </w:r>
      <w:r>
        <w:rPr>
          <w:rFonts w:cs="宋体" w:hint="eastAsia"/>
        </w:rPr>
        <w:t>）</w:t>
      </w:r>
      <w:r>
        <w:rPr>
          <w:rFonts w:ascii="宋体" w:hAnsi="宋体" w:cs="宋体" w:hint="eastAsia"/>
        </w:rPr>
        <w:t>水中藻荇交横，盖竹柏影也</w:t>
      </w:r>
      <w:r>
        <w:rPr>
          <w:rFonts w:cs="宋体" w:hint="eastAsia"/>
        </w:rPr>
        <w:t>（</w:t>
      </w:r>
      <w:r>
        <w:t>3</w:t>
      </w:r>
      <w:r>
        <w:rPr>
          <w:rFonts w:cs="宋体" w:hint="eastAsia"/>
        </w:rPr>
        <w:t>）黄鹤一去不复返，白云千载空悠悠（</w:t>
      </w:r>
      <w:r>
        <w:t>4</w:t>
      </w:r>
      <w:r>
        <w:rPr>
          <w:rFonts w:cs="宋体" w:hint="eastAsia"/>
        </w:rPr>
        <w:t>）</w:t>
      </w:r>
      <w:r>
        <w:rPr>
          <w:rFonts w:ascii="宋体" w:hAnsi="宋体" w:cs="宋体" w:hint="eastAsia"/>
        </w:rPr>
        <w:t>我报路长嗟日暮</w:t>
      </w:r>
      <w:r>
        <w:rPr>
          <w:rFonts w:cs="宋体" w:hint="eastAsia"/>
        </w:rPr>
        <w:t>（</w:t>
      </w:r>
      <w:r>
        <w:t>5</w:t>
      </w:r>
      <w:r>
        <w:rPr>
          <w:rFonts w:cs="宋体" w:hint="eastAsia"/>
        </w:rPr>
        <w:t>）</w:t>
      </w:r>
      <w:r>
        <w:rPr>
          <w:rFonts w:ascii="宋体" w:hAnsi="宋体" w:cs="宋体" w:hint="eastAsia"/>
        </w:rPr>
        <w:t>东风不与周郎便，铜雀春深锁二乔</w:t>
      </w:r>
      <w:r>
        <w:rPr>
          <w:rFonts w:cs="宋体" w:hint="eastAsia"/>
        </w:rPr>
        <w:t>（</w:t>
      </w:r>
      <w:r>
        <w:t>6</w:t>
      </w:r>
      <w:r>
        <w:rPr>
          <w:rFonts w:cs="宋体" w:hint="eastAsia"/>
        </w:rPr>
        <w:t>）示例：①</w:t>
      </w:r>
      <w:r>
        <w:rPr>
          <w:rFonts w:ascii="宋体" w:hAnsi="宋体" w:cs="宋体" w:hint="eastAsia"/>
        </w:rPr>
        <w:t>烽火连三月，家书抵万金</w:t>
      </w:r>
      <w:r>
        <w:rPr>
          <w:rFonts w:ascii="宋体" w:hAnsi="宋体" w:cs="宋体"/>
        </w:rPr>
        <w:t xml:space="preserve">  </w:t>
      </w:r>
      <w:r>
        <w:rPr>
          <w:rFonts w:cs="宋体" w:hint="eastAsia"/>
        </w:rPr>
        <w:t>②</w:t>
      </w:r>
      <w:r>
        <w:rPr>
          <w:rFonts w:ascii="宋体" w:hAnsi="宋体" w:cs="宋体" w:hint="eastAsia"/>
        </w:rPr>
        <w:t>乡书何处达，归雁洛阳边</w:t>
      </w:r>
      <w:r>
        <w:rPr>
          <w:rFonts w:ascii="宋体" w:hAnsi="宋体" w:cs="宋体"/>
        </w:rPr>
        <w:t xml:space="preserve">  </w:t>
      </w:r>
      <w:r>
        <w:rPr>
          <w:rFonts w:cs="宋体" w:hint="eastAsia"/>
        </w:rPr>
        <w:t>③</w:t>
      </w:r>
      <w:r>
        <w:rPr>
          <w:rFonts w:ascii="宋体" w:hAnsi="宋体" w:cs="宋体" w:hint="eastAsia"/>
        </w:rPr>
        <w:t>一男附书至，二男新战死</w:t>
      </w:r>
      <w:r>
        <w:rPr>
          <w:rFonts w:ascii="宋体" w:hAnsi="宋体" w:cs="宋体"/>
        </w:rPr>
        <w:t xml:space="preserve">   </w:t>
      </w:r>
    </w:p>
    <w:p w:rsidR="00CD1BC1" w:rsidP="00377E94">
      <w:pPr>
        <w:ind w:firstLine="210" w:firstLineChars="100"/>
        <w:rPr>
          <w:rFonts w:cs="Times New Roman"/>
        </w:rPr>
      </w:pPr>
      <w:r>
        <w:rPr>
          <w:rFonts w:cs="宋体" w:hint="eastAsia"/>
        </w:rPr>
        <w:t>评分说明：（</w:t>
      </w:r>
      <w:r>
        <w:t>10</w:t>
      </w:r>
      <w:r>
        <w:rPr>
          <w:rFonts w:cs="宋体" w:hint="eastAsia"/>
        </w:rPr>
        <w:t>分）毎空</w:t>
      </w:r>
      <w:r>
        <w:t>1</w:t>
      </w:r>
      <w:r>
        <w:rPr>
          <w:rFonts w:cs="宋体" w:hint="eastAsia"/>
        </w:rPr>
        <w:t>分，错别字、漏字、添字均不得分。</w:t>
      </w:r>
    </w:p>
    <w:p w:rsidR="00CD1BC1">
      <w:pPr>
        <w:numPr>
          <w:ilvl w:val="0"/>
          <w:numId w:val="2"/>
        </w:numPr>
        <w:rPr>
          <w:rFonts w:cs="Times New Roman"/>
        </w:rPr>
      </w:pPr>
      <w:r>
        <w:rPr>
          <w:rFonts w:eastAsia="Times New Roman" w:cs="Times New Roman"/>
        </w:rPr>
        <w:t>  </w:t>
      </w:r>
      <w:r>
        <w:rPr>
          <w:rFonts w:cs="宋体" w:hint="eastAsia"/>
        </w:rPr>
        <w:t>（</w:t>
      </w:r>
      <w:r>
        <w:t>1</w:t>
      </w:r>
      <w:r>
        <w:rPr>
          <w:rFonts w:cs="宋体" w:hint="eastAsia"/>
        </w:rPr>
        <w:t>）法（</w:t>
      </w:r>
      <w:r>
        <w:t>2</w:t>
      </w:r>
      <w:r>
        <w:rPr>
          <w:rFonts w:cs="宋体" w:hint="eastAsia"/>
        </w:rPr>
        <w:t>）示例：蝉在地下“潜伏”四年才钻出地面，却只能在阳光下活五个多星期；螳螂善于运用“心理战术”制服敌人；切叶蜂能够不凭借任何工具，精确地“剪”下大小适当的圆叶片来做巢穴的盖子。评分说明：（</w:t>
      </w:r>
      <w:r>
        <w:t>3</w:t>
      </w:r>
      <w:r>
        <w:rPr>
          <w:rFonts w:cs="宋体" w:hint="eastAsia"/>
        </w:rPr>
        <w:t>分）</w:t>
      </w:r>
    </w:p>
    <w:p w:rsidR="00CD1BC1">
      <w:pPr>
        <w:numPr>
          <w:ilvl w:val="0"/>
          <w:numId w:val="3"/>
        </w:numPr>
        <w:rPr>
          <w:rFonts w:ascii="宋体" w:cs="Times New Roman"/>
        </w:rPr>
      </w:pPr>
      <w:r>
        <w:rPr>
          <w:rFonts w:ascii="宋体" w:hAnsi="宋体" w:cs="宋体" w:hint="eastAsia"/>
        </w:rPr>
        <w:t>口语交际及综合性学习（第</w:t>
      </w:r>
      <w:r>
        <w:rPr>
          <w:rFonts w:ascii="宋体" w:hAnsi="宋体" w:cs="宋体"/>
        </w:rPr>
        <w:t>10</w:t>
      </w:r>
      <w:r>
        <w:rPr>
          <w:rFonts w:ascii="宋体" w:hAnsi="宋体" w:cs="宋体" w:hint="eastAsia"/>
        </w:rPr>
        <w:t>题，共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分）</w:t>
      </w:r>
    </w:p>
    <w:p w:rsidR="00CD1BC1">
      <w:pPr>
        <w:rPr>
          <w:rFonts w:ascii="宋体" w:cs="Times New Roman"/>
        </w:rPr>
      </w:pPr>
      <w:r>
        <w:t>10.</w:t>
      </w:r>
      <w:r>
        <w:rPr>
          <w:rFonts w:cs="宋体" w:hint="eastAsia"/>
        </w:rPr>
        <w:t>（</w:t>
      </w:r>
      <w:r>
        <w:t>1</w:t>
      </w:r>
      <w:r>
        <w:rPr>
          <w:rFonts w:cs="宋体" w:hint="eastAsia"/>
        </w:rPr>
        <w:t>）示例：传承弘扬文化，成就美好人生；弘扬民族传统文化，传承中华传统美德。评分说明：（</w:t>
      </w:r>
      <w:r>
        <w:t>2</w:t>
      </w:r>
      <w:r>
        <w:rPr>
          <w:rFonts w:cs="宋体" w:hint="eastAsia"/>
        </w:rPr>
        <w:t>分）（</w:t>
      </w:r>
      <w:r>
        <w:t>2</w:t>
      </w:r>
      <w:r>
        <w:rPr>
          <w:rFonts w:cs="宋体" w:hint="eastAsia"/>
        </w:rPr>
        <w:t>）清明节</w:t>
      </w:r>
      <w:r>
        <w:rPr>
          <w:rFonts w:ascii="宋体" w:cs="Times New Roman"/>
        </w:rPr>
        <w:t> </w:t>
      </w:r>
      <w:r>
        <w:rPr>
          <w:rFonts w:cs="宋体" w:hint="eastAsia"/>
        </w:rPr>
        <w:t>评分说明：（</w:t>
      </w:r>
      <w:r>
        <w:t>1</w:t>
      </w:r>
      <w:r>
        <w:rPr>
          <w:rFonts w:cs="宋体" w:hint="eastAsia"/>
        </w:rPr>
        <w:t>分）（</w:t>
      </w:r>
      <w:r>
        <w:t>3</w:t>
      </w:r>
      <w:r>
        <w:rPr>
          <w:rFonts w:cs="宋体" w:hint="eastAsia"/>
        </w:rPr>
        <w:t>）示例：不写错别字；练书法；不追崇洋节；熟读并背诵经典文章等。</w:t>
      </w:r>
      <w:r>
        <w:rPr>
          <w:rFonts w:ascii="宋体" w:hAnsi="宋体" w:cs="宋体" w:hint="eastAsia"/>
        </w:rPr>
        <w:t>评分说明：（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分）最少写三个。</w:t>
      </w:r>
    </w:p>
    <w:p w:rsidR="00CD1BC1">
      <w:pPr>
        <w:rPr>
          <w:rFonts w:cs="Times New Roman"/>
        </w:rPr>
      </w:pPr>
      <w:r>
        <w:rPr>
          <w:rFonts w:cs="宋体" w:hint="eastAsia"/>
        </w:rPr>
        <w:t>三、阅读理解及分析</w:t>
      </w:r>
      <w:r>
        <w:t xml:space="preserve"> </w:t>
      </w:r>
      <w:r>
        <w:rPr>
          <w:rFonts w:cs="宋体" w:hint="eastAsia"/>
        </w:rPr>
        <w:t>（第</w:t>
      </w:r>
      <w:r>
        <w:t>11—23</w:t>
      </w:r>
      <w:r>
        <w:rPr>
          <w:rFonts w:cs="宋体" w:hint="eastAsia"/>
        </w:rPr>
        <w:t>题，共</w:t>
      </w:r>
      <w:r>
        <w:t>27</w:t>
      </w:r>
      <w:r>
        <w:rPr>
          <w:rFonts w:cs="宋体" w:hint="eastAsia"/>
        </w:rPr>
        <w:t>分）</w:t>
      </w:r>
    </w:p>
    <w:p w:rsidR="00CD1BC1">
      <w:pPr>
        <w:rPr>
          <w:rFonts w:ascii="宋体" w:cs="Times New Roman"/>
        </w:rPr>
      </w:pPr>
      <w:r>
        <w:rPr>
          <w:rFonts w:cs="宋体" w:hint="eastAsia"/>
        </w:rPr>
        <w:t>（一）阅读文言文，回答</w:t>
      </w:r>
      <w:r>
        <w:t>11—15</w:t>
      </w:r>
      <w:r>
        <w:rPr>
          <w:rFonts w:cs="宋体" w:hint="eastAsia"/>
        </w:rPr>
        <w:t>题。（共</w:t>
      </w:r>
      <w:r>
        <w:t>11</w:t>
      </w:r>
      <w:r>
        <w:rPr>
          <w:rFonts w:cs="宋体" w:hint="eastAsia"/>
        </w:rPr>
        <w:t>分）</w:t>
      </w:r>
    </w:p>
    <w:p w:rsidR="00CD1BC1">
      <w:pPr>
        <w:rPr>
          <w:rFonts w:cs="Times New Roman"/>
        </w:rPr>
      </w:pPr>
      <w:r>
        <w:t>11.</w:t>
      </w:r>
      <w:r>
        <w:rPr>
          <w:rFonts w:cs="宋体" w:hint="eastAsia"/>
        </w:rPr>
        <w:t>（</w:t>
      </w:r>
      <w:r>
        <w:t>1</w:t>
      </w:r>
      <w:r>
        <w:rPr>
          <w:rFonts w:cs="宋体" w:hint="eastAsia"/>
        </w:rPr>
        <w:t>）行冠礼（</w:t>
      </w:r>
      <w:r>
        <w:t>2</w:t>
      </w:r>
      <w:r>
        <w:rPr>
          <w:rFonts w:cs="宋体" w:hint="eastAsia"/>
        </w:rPr>
        <w:t>）</w:t>
      </w:r>
      <w:r>
        <w:rPr>
          <w:rFonts w:ascii="宋体" w:hAnsi="宋体" w:cs="宋体" w:hint="eastAsia"/>
        </w:rPr>
        <w:t>不久</w:t>
      </w:r>
      <w:r>
        <w:rPr>
          <w:rFonts w:ascii="宋体" w:hAnsi="宋体" w:cs="宋体"/>
        </w:rPr>
        <w:t xml:space="preserve">       </w:t>
      </w:r>
      <w:r>
        <w:rPr>
          <w:rFonts w:cs="宋体" w:hint="eastAsia"/>
        </w:rPr>
        <w:t>评分说明：（</w:t>
      </w:r>
      <w:r>
        <w:t>2</w:t>
      </w:r>
      <w:r>
        <w:rPr>
          <w:rFonts w:cs="宋体" w:hint="eastAsia"/>
        </w:rPr>
        <w:t>分）</w:t>
      </w:r>
    </w:p>
    <w:p w:rsidR="00CD1BC1">
      <w:pPr>
        <w:rPr>
          <w:rFonts w:cs="Times New Roman"/>
        </w:rPr>
      </w:pPr>
      <w:r>
        <w:t>12.</w:t>
      </w:r>
      <w:r>
        <w:rPr>
          <w:rFonts w:cs="宋体" w:hint="eastAsia"/>
        </w:rPr>
        <w:t>（</w:t>
      </w:r>
      <w:r>
        <w:t>1</w:t>
      </w:r>
      <w:r>
        <w:rPr>
          <w:rFonts w:cs="宋体" w:hint="eastAsia"/>
        </w:rPr>
        <w:t>）这怎么能算大丈夫呢？（</w:t>
      </w:r>
      <w:r>
        <w:t>2</w:t>
      </w:r>
      <w:r>
        <w:rPr>
          <w:rFonts w:cs="宋体" w:hint="eastAsia"/>
        </w:rPr>
        <w:t>）</w:t>
      </w:r>
      <w:r>
        <w:rPr>
          <w:rFonts w:ascii="宋体" w:hAnsi="宋体" w:cs="宋体" w:hint="eastAsia"/>
        </w:rPr>
        <w:t>问集市上围观的人何处是南，何处是北，面向南方拜了又拜，然后受刑而死。</w:t>
      </w:r>
      <w:r>
        <w:rPr>
          <w:rFonts w:ascii="宋体" w:hAnsi="宋体" w:cs="宋体"/>
        </w:rPr>
        <w:t xml:space="preserve">  </w:t>
      </w:r>
      <w:r>
        <w:rPr>
          <w:rFonts w:cs="宋体" w:hint="eastAsia"/>
        </w:rPr>
        <w:t>评分说明：（</w:t>
      </w:r>
      <w:r>
        <w:t>4</w:t>
      </w:r>
      <w:r>
        <w:rPr>
          <w:rFonts w:cs="宋体" w:hint="eastAsia"/>
        </w:rPr>
        <w:t>分）</w:t>
      </w:r>
    </w:p>
    <w:p w:rsidR="00CD1BC1">
      <w:pPr>
        <w:rPr>
          <w:rFonts w:ascii="宋体" w:cs="Times New Roman"/>
        </w:rPr>
      </w:pPr>
      <w:r>
        <w:t>13.</w:t>
      </w:r>
      <w:r>
        <w:rPr>
          <w:rFonts w:ascii="宋体" w:hAnsi="宋体" w:cs="宋体" w:hint="eastAsia"/>
        </w:rPr>
        <w:t>公孙衍、张仪</w:t>
      </w:r>
      <w:r>
        <w:rPr>
          <w:rFonts w:ascii="宋体" w:hAnsi="宋体" w:cs="宋体"/>
        </w:rPr>
        <w:t>/</w:t>
      </w:r>
      <w:r>
        <w:rPr>
          <w:rFonts w:ascii="宋体" w:hAnsi="宋体" w:cs="宋体" w:hint="eastAsia"/>
        </w:rPr>
        <w:t>岂不</w:t>
      </w:r>
      <w:r>
        <w:rPr>
          <w:rFonts w:ascii="宋体" w:hAnsi="宋体" w:cs="宋体"/>
        </w:rPr>
        <w:t>/</w:t>
      </w:r>
      <w:r>
        <w:rPr>
          <w:rFonts w:ascii="宋体" w:hAnsi="宋体" w:cs="宋体" w:hint="eastAsia"/>
        </w:rPr>
        <w:t>诚大丈夫哉</w:t>
      </w:r>
      <w:r>
        <w:rPr>
          <w:rFonts w:ascii="宋体" w:hAnsi="宋体" w:cs="宋体"/>
        </w:rPr>
        <w:t xml:space="preserve">   </w:t>
      </w:r>
      <w:r>
        <w:rPr>
          <w:rFonts w:cs="宋体" w:hint="eastAsia"/>
        </w:rPr>
        <w:t>评分说明：（</w:t>
      </w:r>
      <w:r>
        <w:t>1</w:t>
      </w:r>
      <w:r>
        <w:rPr>
          <w:rFonts w:cs="宋体" w:hint="eastAsia"/>
        </w:rPr>
        <w:t>分）标对一处不给分。</w:t>
      </w:r>
    </w:p>
    <w:p w:rsidR="00CD1BC1">
      <w:pPr>
        <w:rPr>
          <w:rFonts w:ascii="宋体" w:cs="Times New Roman"/>
        </w:rPr>
      </w:pPr>
      <w:r>
        <w:rPr>
          <w:rFonts w:ascii="宋体" w:hAnsi="宋体" w:cs="宋体"/>
        </w:rPr>
        <w:t>14.</w:t>
      </w:r>
      <w:r>
        <w:rPr>
          <w:rFonts w:ascii="宋体" w:hAnsi="宋体" w:cs="宋体" w:hint="eastAsia"/>
        </w:rPr>
        <w:t>得志与民由之；不得志独行其道。</w:t>
      </w:r>
      <w:r>
        <w:rPr>
          <w:rFonts w:ascii="宋体" w:hAnsi="宋体" w:cs="宋体"/>
        </w:rPr>
        <w:t xml:space="preserve"> </w:t>
      </w:r>
      <w:r>
        <w:rPr>
          <w:rFonts w:cs="宋体" w:hint="eastAsia"/>
        </w:rPr>
        <w:t>评分说明：（</w:t>
      </w:r>
      <w:r>
        <w:t>2</w:t>
      </w:r>
      <w:r>
        <w:rPr>
          <w:rFonts w:cs="宋体" w:hint="eastAsia"/>
        </w:rPr>
        <w:t>分）</w:t>
      </w:r>
    </w:p>
    <w:p w:rsidR="00CD1BC1" w:rsidP="00377E94">
      <w:pPr>
        <w:widowControl/>
        <w:shd w:val="clear" w:color="auto" w:fill="FFFFFF"/>
        <w:ind w:left="210" w:hanging="210" w:hangingChars="100"/>
        <w:jc w:val="left"/>
        <w:rPr>
          <w:rFonts w:cs="Times New Roman"/>
        </w:rPr>
      </w:pPr>
      <w:r>
        <w:rPr>
          <w:rFonts w:ascii="宋体" w:hAnsi="宋体" w:cs="宋体"/>
        </w:rPr>
        <w:t>15.</w:t>
      </w:r>
      <w:r>
        <w:rPr>
          <w:rFonts w:ascii="宋体" w:hAnsi="宋体" w:cs="宋体" w:hint="eastAsia"/>
        </w:rPr>
        <w:t>文天祥被俘后面对死亡，面对威逼利诱，一身浩然正气，从容就义，正是孟子“大丈夫”论断中“威武不能屈”的体现。</w:t>
      </w:r>
      <w:r>
        <w:rPr>
          <w:rFonts w:ascii="宋体" w:hAnsi="宋体" w:cs="宋体"/>
        </w:rPr>
        <w:t xml:space="preserve">   </w:t>
      </w:r>
      <w:r>
        <w:rPr>
          <w:rFonts w:cs="宋体" w:hint="eastAsia"/>
        </w:rPr>
        <w:t>评分说明：（</w:t>
      </w:r>
      <w:r>
        <w:t>2</w:t>
      </w:r>
      <w:r>
        <w:rPr>
          <w:rFonts w:cs="宋体" w:hint="eastAsia"/>
        </w:rPr>
        <w:t>分）</w:t>
      </w:r>
    </w:p>
    <w:p w:rsidR="00CD1BC1">
      <w:pPr>
        <w:widowControl/>
        <w:shd w:val="clear" w:color="auto" w:fill="FFFFFF"/>
        <w:jc w:val="left"/>
        <w:rPr>
          <w:rFonts w:ascii="宋体" w:cs="Times New Roman"/>
          <w:color w:val="1E1E1E"/>
        </w:rPr>
      </w:pPr>
      <w:r>
        <w:rPr>
          <w:rFonts w:cs="宋体" w:hint="eastAsia"/>
        </w:rPr>
        <w:t>参考译文</w:t>
      </w:r>
      <w:r>
        <w:rPr>
          <w:rFonts w:ascii="宋体" w:hAnsi="宋体" w:cs="宋体" w:hint="eastAsia"/>
          <w:color w:val="1E1E1E"/>
          <w:kern w:val="0"/>
          <w:shd w:val="clear" w:color="auto" w:fill="FFFFFF"/>
        </w:rPr>
        <w:t>【乙】文天祥将被押出监狱前，就写下遗书自我总结，挂</w:t>
      </w:r>
      <w:bookmarkStart w:id="0" w:name="_GoBack"/>
      <w:bookmarkEnd w:id="0"/>
      <w:r>
        <w:rPr>
          <w:rFonts w:ascii="宋体" w:hAnsi="宋体" w:cs="宋体" w:hint="eastAsia"/>
          <w:color w:val="1E1E1E"/>
          <w:kern w:val="0"/>
          <w:shd w:val="clear" w:color="auto" w:fill="FFFFFF"/>
        </w:rPr>
        <w:t>在衣带间。那文词写着：“孔子说杀身成仁，孟子说舍生取义，（因为）已经尽了人臣的责任，所以达成了仁德。读古代圣贤的书，所学的（不是成仁取义的事又）是什么事呢？从今以后，我差不多就没有愧疚了！”（他被）押过集市时，精神得意，如往常一样。围观的人多得像一道墙。即将受刑时，他不慌不忙地向执刑的官吏说：“我的事都已经做完了。”问集市上（围观）的人何处是南，何处是北，面向南方拜了又拜，然后受刑而死。不久，有使者（前来传令）让行刑停止，到达时（文天祥）已经死了。看到、听到的人，</w:t>
      </w:r>
      <w:r>
        <w:rPr>
          <w:rFonts w:ascii="宋体" w:hAnsi="宋体" w:cs="宋体"/>
          <w:color w:val="1E1E1E"/>
          <w:kern w:val="0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1E1E1E"/>
          <w:kern w:val="0"/>
          <w:shd w:val="clear" w:color="auto" w:fill="FFFFFF"/>
        </w:rPr>
        <w:t>没有不伤心流泪的。</w:t>
      </w:r>
    </w:p>
    <w:p w:rsidR="00CD1BC1">
      <w:pPr>
        <w:rPr>
          <w:rFonts w:ascii="宋体" w:cs="Times New Roman"/>
        </w:rPr>
      </w:pPr>
      <w:r>
        <w:rPr>
          <w:rFonts w:cs="宋体" w:hint="eastAsia"/>
        </w:rPr>
        <w:t>（二）</w:t>
      </w:r>
      <w:r>
        <w:rPr>
          <w:rFonts w:ascii="宋体" w:hAnsi="宋体" w:cs="宋体" w:hint="eastAsia"/>
        </w:rPr>
        <w:t>阅读《</w:t>
      </w:r>
      <w:r>
        <w:rPr>
          <w:rFonts w:ascii="宋体" w:hAnsi="宋体" w:cs="宋体" w:hint="eastAsia"/>
          <w:color w:val="333333"/>
          <w:kern w:val="0"/>
          <w:shd w:val="clear" w:color="auto" w:fill="FFFFFF"/>
        </w:rPr>
        <w:t>白杨礼赞</w:t>
      </w:r>
      <w:r>
        <w:rPr>
          <w:rFonts w:ascii="宋体" w:hAnsi="宋体" w:cs="宋体" w:hint="eastAsia"/>
        </w:rPr>
        <w:t>》回答</w:t>
      </w:r>
      <w:r>
        <w:rPr>
          <w:rFonts w:ascii="宋体" w:hAnsi="宋体" w:cs="宋体"/>
        </w:rPr>
        <w:t>16—19</w:t>
      </w:r>
      <w:r>
        <w:rPr>
          <w:rFonts w:ascii="宋体" w:hAnsi="宋体" w:cs="宋体" w:hint="eastAsia"/>
        </w:rPr>
        <w:t>题。（共</w:t>
      </w:r>
      <w:r>
        <w:rPr>
          <w:rFonts w:ascii="宋体" w:hAnsi="宋体" w:cs="宋体"/>
        </w:rPr>
        <w:t>8</w:t>
      </w:r>
      <w:r>
        <w:rPr>
          <w:rFonts w:ascii="宋体" w:hAnsi="宋体" w:cs="宋体" w:hint="eastAsia"/>
        </w:rPr>
        <w:t>分）</w:t>
      </w:r>
    </w:p>
    <w:p w:rsidR="00CD1BC1">
      <w:pPr>
        <w:rPr>
          <w:rFonts w:ascii="宋体" w:cs="Times New Roman"/>
        </w:rPr>
      </w:pPr>
      <w:r>
        <w:t>16. </w:t>
      </w:r>
      <w:r>
        <w:rPr>
          <w:rFonts w:cs="宋体" w:hint="eastAsia"/>
        </w:rPr>
        <w:t>因为它“</w:t>
      </w:r>
      <w:r>
        <w:rPr>
          <w:rFonts w:ascii="宋体" w:hAnsi="宋体" w:cs="宋体" w:hint="eastAsia"/>
          <w:color w:val="333333"/>
          <w:shd w:val="clear" w:color="auto" w:fill="FFFFFF"/>
        </w:rPr>
        <w:t>伟岸，正直，朴质，严肃，也不缺乏温和</w:t>
      </w:r>
      <w:r>
        <w:rPr>
          <w:rFonts w:cs="宋体" w:hint="eastAsia"/>
        </w:rPr>
        <w:t>”，而且“</w:t>
      </w:r>
      <w:r>
        <w:rPr>
          <w:rFonts w:ascii="宋体" w:hAnsi="宋体" w:cs="宋体" w:hint="eastAsia"/>
          <w:color w:val="333333"/>
          <w:shd w:val="clear" w:color="auto" w:fill="FFFFFF"/>
        </w:rPr>
        <w:t>坚强不屈与挺拔</w:t>
      </w:r>
      <w:r>
        <w:rPr>
          <w:rFonts w:cs="宋体" w:hint="eastAsia"/>
        </w:rPr>
        <w:t>”。</w:t>
      </w:r>
      <w:r>
        <w:rPr>
          <w:rFonts w:ascii="宋体" w:cs="Times New Roman"/>
        </w:rPr>
        <w:t> </w:t>
      </w:r>
    </w:p>
    <w:p w:rsidR="00CD1BC1" w:rsidP="00377E94">
      <w:pPr>
        <w:ind w:firstLine="210" w:firstLineChars="100"/>
        <w:rPr>
          <w:rFonts w:cs="Times New Roman"/>
        </w:rPr>
      </w:pPr>
      <w:r>
        <w:rPr>
          <w:rFonts w:cs="宋体" w:hint="eastAsia"/>
        </w:rPr>
        <w:t>评分说明：（</w:t>
      </w:r>
      <w:r>
        <w:t>2</w:t>
      </w:r>
      <w:r>
        <w:rPr>
          <w:rFonts w:cs="宋体" w:hint="eastAsia"/>
        </w:rPr>
        <w:t>分）</w:t>
      </w:r>
    </w:p>
    <w:p w:rsidR="00CD1BC1" w:rsidP="00377E94">
      <w:pPr>
        <w:ind w:left="210" w:hanging="210" w:hangingChars="100"/>
        <w:rPr>
          <w:rFonts w:cs="Times New Roman"/>
        </w:rPr>
      </w:pPr>
      <w:r>
        <w:t>17. </w:t>
      </w:r>
      <w:r>
        <w:rPr>
          <w:rFonts w:ascii="宋体" w:hAnsi="宋体" w:cs="宋体" w:hint="eastAsia"/>
          <w:shd w:val="clear" w:color="auto" w:fill="FFFFFF"/>
        </w:rPr>
        <w:t>欲扬先抑。作用：揭示白杨树与众树不同，突出白杨树的内在美，由赞树到赞人，过渡自然。</w:t>
      </w:r>
      <w:r>
        <w:rPr>
          <w:rFonts w:cs="宋体" w:hint="eastAsia"/>
        </w:rPr>
        <w:t>评分说明：（</w:t>
      </w:r>
      <w:r>
        <w:t>2</w:t>
      </w:r>
      <w:r>
        <w:rPr>
          <w:rFonts w:cs="宋体" w:hint="eastAsia"/>
        </w:rPr>
        <w:t>分）</w:t>
      </w:r>
    </w:p>
    <w:p w:rsidR="00CD1BC1">
      <w:pPr>
        <w:rPr>
          <w:rFonts w:cs="Times New Roman"/>
        </w:rPr>
      </w:pPr>
      <w:r>
        <w:t>18.  </w:t>
      </w:r>
      <w:r>
        <w:rPr>
          <w:rFonts w:cs="宋体" w:hint="eastAsia"/>
        </w:rPr>
        <w:t>在前文描写了白杨树的外形特点和内在精神的基础上，用亲切的语气将读者的视线引向“积雪初融”的高原，自然由树及人，写出了白杨树的象征意义。</w:t>
      </w:r>
    </w:p>
    <w:p w:rsidR="00CD1BC1">
      <w:pPr>
        <w:rPr>
          <w:rFonts w:cs="Times New Roman"/>
        </w:rPr>
      </w:pPr>
      <w:r>
        <w:rPr>
          <w:rFonts w:cs="宋体" w:hint="eastAsia"/>
        </w:rPr>
        <w:t>评分说明：（</w:t>
      </w:r>
      <w:r>
        <w:t>2</w:t>
      </w:r>
      <w:r>
        <w:rPr>
          <w:rFonts w:cs="宋体" w:hint="eastAsia"/>
        </w:rPr>
        <w:t>分）</w:t>
      </w:r>
    </w:p>
    <w:p w:rsidR="00CD1BC1" w:rsidP="00377E94">
      <w:pPr>
        <w:numPr>
          <w:ilvl w:val="0"/>
          <w:numId w:val="4"/>
        </w:numPr>
        <w:ind w:left="210" w:hanging="210" w:hangingChars="100"/>
        <w:rPr>
          <w:rFonts w:cs="Times New Roman"/>
        </w:rPr>
      </w:pPr>
      <w:r>
        <w:rPr>
          <w:rFonts w:cs="宋体" w:hint="eastAsia"/>
        </w:rPr>
        <w:t>进一步揭示了白杨树的象征意义；说明了赞美白杨树的原因，点明了全文的主旨。</w:t>
      </w:r>
      <w:r>
        <w:rPr>
          <w:rFonts w:cs="宋体" w:hint="eastAsia"/>
        </w:rPr>
        <w:t> </w:t>
      </w:r>
    </w:p>
    <w:p w:rsidR="00CD1BC1" w:rsidP="00377E94">
      <w:pPr>
        <w:ind w:left="-210" w:firstLine="210" w:leftChars="-100" w:firstLineChars="100"/>
        <w:rPr>
          <w:rFonts w:cs="Times New Roman"/>
        </w:rPr>
      </w:pPr>
      <w:r>
        <w:rPr>
          <w:rFonts w:cs="宋体" w:hint="eastAsia"/>
        </w:rPr>
        <w:t>评分说明：（</w:t>
      </w:r>
      <w:r>
        <w:t>2</w:t>
      </w:r>
      <w:r>
        <w:rPr>
          <w:rFonts w:cs="宋体" w:hint="eastAsia"/>
        </w:rPr>
        <w:t>分）</w:t>
      </w:r>
    </w:p>
    <w:p w:rsidR="00CD1BC1">
      <w:pPr>
        <w:widowControl/>
        <w:shd w:val="clear" w:color="auto" w:fill="FFFFFF"/>
        <w:jc w:val="left"/>
        <w:rPr>
          <w:rFonts w:ascii="宋体" w:cs="Times New Roman"/>
          <w:color w:val="1E1E1E"/>
        </w:rPr>
      </w:pPr>
      <w:r>
        <w:rPr>
          <w:rFonts w:cs="宋体" w:hint="eastAsia"/>
        </w:rPr>
        <w:t>（三）阅读《</w:t>
      </w:r>
      <w:r>
        <w:rPr>
          <w:rFonts w:ascii="宋体" w:hAnsi="宋体" w:cs="宋体" w:hint="eastAsia"/>
          <w:color w:val="1E1E1E"/>
          <w:kern w:val="0"/>
          <w:shd w:val="clear" w:color="auto" w:fill="FFFFFF"/>
        </w:rPr>
        <w:t>题跋：绵廷千年的点赞艺术</w:t>
      </w:r>
      <w:r>
        <w:rPr>
          <w:rFonts w:cs="宋体" w:hint="eastAsia"/>
        </w:rPr>
        <w:t>》</w:t>
      </w:r>
      <w:r>
        <w:t xml:space="preserve"> —</w:t>
      </w:r>
      <w:r>
        <w:rPr>
          <w:rFonts w:cs="宋体" w:hint="eastAsia"/>
        </w:rPr>
        <w:t>文，回答</w:t>
      </w:r>
      <w:r>
        <w:t>20—23</w:t>
      </w:r>
      <w:r>
        <w:rPr>
          <w:rFonts w:cs="宋体" w:hint="eastAsia"/>
        </w:rPr>
        <w:t>题。（共</w:t>
      </w:r>
      <w:r>
        <w:t>8</w:t>
      </w:r>
      <w:r>
        <w:rPr>
          <w:rFonts w:cs="宋体" w:hint="eastAsia"/>
        </w:rPr>
        <w:t>分）</w:t>
      </w:r>
    </w:p>
    <w:p w:rsidR="00CD1BC1">
      <w:pPr>
        <w:numPr>
          <w:ilvl w:val="0"/>
          <w:numId w:val="5"/>
        </w:numPr>
        <w:rPr>
          <w:rFonts w:cs="Times New Roman"/>
        </w:rPr>
      </w:pPr>
      <w:r>
        <w:rPr>
          <w:rFonts w:ascii="宋体" w:hAnsi="宋体" w:cs="宋体" w:hint="eastAsia"/>
          <w:color w:val="1E1E1E"/>
          <w:kern w:val="0"/>
          <w:shd w:val="clear" w:color="auto" w:fill="FFFFFF"/>
        </w:rPr>
        <w:t>定义、发展历史、艺术价值、重要作用</w:t>
      </w:r>
      <w:r>
        <w:rPr>
          <w:rFonts w:ascii="宋体" w:hAnsi="宋体" w:cs="宋体"/>
          <w:color w:val="1E1E1E"/>
          <w:kern w:val="0"/>
          <w:shd w:val="clear" w:color="auto" w:fill="FFFFFF"/>
        </w:rPr>
        <w:t xml:space="preserve">   </w:t>
      </w:r>
      <w:r>
        <w:rPr>
          <w:rFonts w:cs="宋体" w:hint="eastAsia"/>
        </w:rPr>
        <w:t>评分说明：（</w:t>
      </w:r>
      <w:r>
        <w:t>2</w:t>
      </w:r>
      <w:r>
        <w:rPr>
          <w:rFonts w:cs="宋体" w:hint="eastAsia"/>
        </w:rPr>
        <w:t>分）</w:t>
      </w:r>
    </w:p>
    <w:p w:rsidR="00CD1BC1">
      <w:pPr>
        <w:numPr>
          <w:ilvl w:val="0"/>
          <w:numId w:val="5"/>
        </w:numPr>
        <w:rPr>
          <w:rFonts w:cs="Times New Roman"/>
        </w:rPr>
      </w:pPr>
      <w:r>
        <w:rPr>
          <w:rFonts w:eastAsia="Times New Roman" w:cs="Times New Roman"/>
        </w:rPr>
        <w:t> </w:t>
      </w:r>
      <w:r>
        <w:rPr>
          <w:rFonts w:ascii="宋体" w:hAnsi="宋体" w:cs="宋体" w:hint="eastAsia"/>
          <w:color w:val="1E1E1E"/>
          <w:kern w:val="0"/>
          <w:shd w:val="clear" w:color="auto" w:fill="FFFFFF"/>
        </w:rPr>
        <w:t>不能，目前所知是据目前资料显示的意思。原句表示据目前历史资料显示，顾恺之是</w:t>
      </w:r>
      <w:r>
        <w:rPr>
          <w:rFonts w:ascii="宋体" w:hAnsi="宋体" w:cs="宋体"/>
          <w:color w:val="1E1E1E"/>
          <w:kern w:val="0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E1E1E"/>
          <w:kern w:val="0"/>
          <w:shd w:val="clear" w:color="auto" w:fill="FFFFFF"/>
        </w:rPr>
        <w:t>第一位在画作上留下签名的人，但并不表明他一定就是第一位在画作上签名的人，如果删去，表述过于绝对，不符合原意。体现了说明文语言的准确性和严密性。</w:t>
      </w:r>
      <w:r>
        <w:rPr>
          <w:rFonts w:ascii="宋体" w:hAnsi="宋体" w:cs="宋体"/>
          <w:color w:val="1E1E1E"/>
          <w:kern w:val="0"/>
          <w:shd w:val="clear" w:color="auto" w:fill="FFFFFF"/>
        </w:rPr>
        <w:t xml:space="preserve">  </w:t>
      </w:r>
      <w:r>
        <w:rPr>
          <w:rFonts w:cs="宋体" w:hint="eastAsia"/>
        </w:rPr>
        <w:t>评分说明：（</w:t>
      </w:r>
      <w:r>
        <w:t>2</w:t>
      </w:r>
      <w:r>
        <w:rPr>
          <w:rFonts w:cs="宋体" w:hint="eastAsia"/>
        </w:rPr>
        <w:t>分）</w:t>
      </w:r>
    </w:p>
    <w:p w:rsidR="00CD1BC1">
      <w:pPr>
        <w:numPr>
          <w:ilvl w:val="0"/>
          <w:numId w:val="6"/>
        </w:numPr>
        <w:rPr>
          <w:rFonts w:cs="Times New Roman"/>
        </w:rPr>
      </w:pPr>
      <w:r>
        <w:rPr>
          <w:rFonts w:eastAsia="Times New Roman" w:cs="Times New Roman"/>
        </w:rPr>
        <w:t> </w:t>
      </w:r>
      <w:r>
        <w:rPr>
          <w:rFonts w:ascii="宋体" w:hAnsi="宋体" w:cs="宋体" w:hint="eastAsia"/>
          <w:color w:val="1E1E1E"/>
          <w:kern w:val="0"/>
          <w:shd w:val="clear" w:color="auto" w:fill="FFFFFF"/>
        </w:rPr>
        <w:t>举例子，举了《清明上河图》题跋揭示作者部分缺失的例子，具体直观的说明了题跋的重要作用，提供了创作线索。进一步说明了题跋是绵延千年的点赞艺术。为下文提出要好好对待题跋做铺垫，增加文章趣味性。</w:t>
      </w:r>
      <w:r>
        <w:rPr>
          <w:rFonts w:cs="宋体" w:hint="eastAsia"/>
        </w:rPr>
        <w:t>评分说明：（</w:t>
      </w:r>
      <w:r>
        <w:t>2</w:t>
      </w:r>
      <w:r>
        <w:rPr>
          <w:rFonts w:cs="宋体" w:hint="eastAsia"/>
        </w:rPr>
        <w:t>分）</w:t>
      </w:r>
    </w:p>
    <w:p w:rsidR="00CD1BC1">
      <w:pPr>
        <w:numPr>
          <w:ilvl w:val="0"/>
          <w:numId w:val="6"/>
        </w:numPr>
        <w:rPr>
          <w:rFonts w:cs="Times New Roman"/>
        </w:rPr>
      </w:pPr>
      <w:r>
        <w:rPr>
          <w:rFonts w:ascii="宋体" w:hAnsi="宋体" w:cs="宋体" w:hint="eastAsia"/>
          <w:color w:val="1E1E1E"/>
          <w:kern w:val="0"/>
          <w:shd w:val="clear" w:color="auto" w:fill="FFFFFF"/>
        </w:rPr>
        <w:t>好。交代说明对象是题跋，体现出题跋的历史悠久，绵延不绝，表达了作者对题跋的赞美；吸引读者阅读兴趣。</w:t>
      </w:r>
      <w:r>
        <w:rPr>
          <w:rFonts w:ascii="宋体" w:hAnsi="宋体" w:cs="宋体"/>
          <w:color w:val="1E1E1E"/>
          <w:kern w:val="0"/>
          <w:shd w:val="clear" w:color="auto" w:fill="FFFFFF"/>
        </w:rPr>
        <w:t xml:space="preserve">  </w:t>
      </w:r>
      <w:r>
        <w:rPr>
          <w:rFonts w:cs="宋体" w:hint="eastAsia"/>
        </w:rPr>
        <w:t>评分说明：（</w:t>
      </w:r>
      <w:r>
        <w:t>2</w:t>
      </w:r>
      <w:r>
        <w:rPr>
          <w:rFonts w:cs="宋体" w:hint="eastAsia"/>
        </w:rPr>
        <w:t>分）</w:t>
      </w:r>
    </w:p>
    <w:p w:rsidR="00CD1BC1">
      <w:pPr>
        <w:rPr>
          <w:rFonts w:ascii="宋体" w:cs="Times New Roman"/>
        </w:rPr>
      </w:pPr>
      <w:r>
        <w:rPr>
          <w:rFonts w:ascii="宋体" w:hAnsi="宋体" w:cs="宋体" w:hint="eastAsia"/>
        </w:rPr>
        <w:t>四、</w:t>
      </w:r>
      <w:r>
        <w:rPr>
          <w:rFonts w:ascii="宋体" w:cs="Times New Roman"/>
        </w:rPr>
        <w:t> </w:t>
      </w:r>
      <w:r>
        <w:rPr>
          <w:rFonts w:ascii="宋体" w:hAnsi="宋体" w:cs="宋体" w:hint="eastAsia"/>
        </w:rPr>
        <w:t>写作表达（第</w:t>
      </w:r>
      <w:r>
        <w:rPr>
          <w:rFonts w:ascii="宋体" w:hAnsi="宋体" w:cs="宋体"/>
        </w:rPr>
        <w:t>24</w:t>
      </w:r>
      <w:r>
        <w:rPr>
          <w:rFonts w:ascii="宋体" w:hAnsi="宋体" w:cs="宋体" w:hint="eastAsia"/>
        </w:rPr>
        <w:t>题，共</w:t>
      </w:r>
      <w:r>
        <w:rPr>
          <w:rFonts w:ascii="宋体" w:hAnsi="宋体" w:cs="宋体"/>
        </w:rPr>
        <w:t>40</w:t>
      </w:r>
      <w:r>
        <w:rPr>
          <w:rFonts w:ascii="宋体" w:hAnsi="宋体" w:cs="宋体" w:hint="eastAsia"/>
        </w:rPr>
        <w:t>分）</w:t>
      </w:r>
    </w:p>
    <w:p w:rsidR="00CD1BC1">
      <w:pPr>
        <w:rPr>
          <w:rFonts w:cs="Times New Roman"/>
        </w:rPr>
      </w:pPr>
      <w:r>
        <w:t>24</w:t>
      </w:r>
      <w:r>
        <w:rPr>
          <w:rFonts w:cs="宋体" w:hint="eastAsia"/>
        </w:rPr>
        <w:t>．评价等级及评分标准：</w:t>
      </w:r>
    </w:p>
    <w:p w:rsidR="00CD1BC1">
      <w:pPr>
        <w:rPr>
          <w:rFonts w:cs="Times New Roman"/>
        </w:rPr>
      </w:pPr>
    </w:p>
    <w:tbl>
      <w:tblPr>
        <w:tblpPr w:leftFromText="180" w:rightFromText="180" w:vertAnchor="text" w:horzAnchor="page" w:tblpX="1559" w:tblpY="38"/>
        <w:tblOverlap w:val="never"/>
        <w:tblW w:w="8940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234"/>
        <w:gridCol w:w="2235"/>
        <w:gridCol w:w="2235"/>
        <w:gridCol w:w="2236"/>
      </w:tblGrid>
      <w:tr>
        <w:tblPrEx>
          <w:tblW w:w="8940" w:type="dxa"/>
          <w:tblBorders>
            <w:top w:val="none" w:sz="6" w:space="0" w:color="auto"/>
            <w:left w:val="none" w:sz="6" w:space="0" w:color="auto"/>
            <w:bottom w:val="none" w:sz="6" w:space="0" w:color="auto"/>
            <w:right w:val="none" w:sz="6" w:space="0" w:color="auto"/>
            <w:insideH w:val="outset" w:sz="6" w:space="0" w:color="auto"/>
            <w:insideV w:val="outset" w:sz="6" w:space="0" w:color="auto"/>
          </w:tblBorders>
          <w:tblLayout w:type="fixed"/>
          <w:tblCellMar>
            <w:left w:w="0" w:type="dxa"/>
            <w:right w:w="0" w:type="dxa"/>
          </w:tblCellMar>
          <w:tblLook w:val="00A0"/>
        </w:tblPrEx>
        <w:trPr>
          <w:trHeight w:val="418"/>
        </w:trPr>
        <w:tc>
          <w:tcPr>
            <w:tcW w:w="2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等级</w:t>
            </w:r>
          </w:p>
        </w:tc>
        <w:tc>
          <w:tcPr>
            <w:tcW w:w="22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内容</w:t>
            </w:r>
          </w:p>
        </w:tc>
        <w:tc>
          <w:tcPr>
            <w:tcW w:w="22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语吉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结构</w:t>
            </w:r>
          </w:p>
        </w:tc>
      </w:tr>
      <w:tr>
        <w:tblPrEx>
          <w:tblW w:w="8940" w:type="dxa"/>
          <w:tblLayout w:type="fixed"/>
          <w:tblCellMar>
            <w:left w:w="0" w:type="dxa"/>
            <w:right w:w="0" w:type="dxa"/>
          </w:tblCellMar>
          <w:tblLook w:val="00A0"/>
        </w:tblPrEx>
        <w:trPr>
          <w:trHeight w:val="812"/>
        </w:trPr>
        <w:tc>
          <w:tcPr>
            <w:tcW w:w="2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一等</w:t>
            </w:r>
          </w:p>
          <w:p w:rsidR="00CD1BC1" w:rsidRPr="00016595">
            <w:pPr>
              <w:jc w:val="center"/>
            </w:pPr>
            <w:r w:rsidRPr="00016595">
              <w:t>(37</w:t>
            </w:r>
            <w:r w:rsidRPr="00016595">
              <w:rPr>
                <w:rFonts w:cs="宋体" w:hint="eastAsia"/>
              </w:rPr>
              <w:t>分</w:t>
            </w:r>
            <w:r w:rsidRPr="00016595">
              <w:rPr>
                <w:rFonts w:cs="Times New Roman"/>
              </w:rPr>
              <w:t> </w:t>
            </w:r>
            <w:r w:rsidRPr="00016595">
              <w:t xml:space="preserve">-40 </w:t>
            </w:r>
            <w:r w:rsidRPr="00016595">
              <w:rPr>
                <w:rFonts w:cs="宋体" w:hint="eastAsia"/>
              </w:rPr>
              <w:t>分</w:t>
            </w:r>
            <w:r w:rsidRPr="00016595">
              <w:t>)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立意新颖</w:t>
            </w:r>
            <w:r w:rsidRPr="00016595">
              <w:rPr>
                <w:rFonts w:cs="Times New Roman"/>
              </w:rPr>
              <w:t> 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选材不俗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t xml:space="preserve"> </w:t>
            </w:r>
            <w:r w:rsidRPr="00016595">
              <w:rPr>
                <w:rFonts w:cs="宋体" w:hint="eastAsia"/>
              </w:rPr>
              <w:t>内容充实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感情真挚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语言流畅</w:t>
            </w:r>
            <w:r w:rsidRPr="00016595">
              <w:rPr>
                <w:rFonts w:cs="Times New Roman"/>
              </w:rPr>
              <w:t> </w:t>
            </w:r>
          </w:p>
          <w:p w:rsidR="00CD1BC1" w:rsidRPr="00016595">
            <w:pPr>
              <w:jc w:val="center"/>
            </w:pPr>
            <w:r w:rsidRPr="00016595">
              <w:rPr>
                <w:rFonts w:cs="宋体" w:hint="eastAsia"/>
              </w:rPr>
              <w:t>用词准确</w:t>
            </w:r>
            <w:r w:rsidRPr="00016595">
              <w:t xml:space="preserve"> 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表达生动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结构精巧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层次清晰</w:t>
            </w:r>
          </w:p>
        </w:tc>
      </w:tr>
      <w:tr>
        <w:tblPrEx>
          <w:tblW w:w="8940" w:type="dxa"/>
          <w:tblLayout w:type="fixed"/>
          <w:tblCellMar>
            <w:left w:w="0" w:type="dxa"/>
            <w:right w:w="0" w:type="dxa"/>
          </w:tblCellMar>
          <w:tblLook w:val="00A0"/>
        </w:tblPrEx>
        <w:trPr>
          <w:trHeight w:val="812"/>
        </w:trPr>
        <w:tc>
          <w:tcPr>
            <w:tcW w:w="2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二等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（</w:t>
            </w:r>
            <w:r w:rsidRPr="00016595">
              <w:t xml:space="preserve">33 </w:t>
            </w:r>
            <w:r w:rsidRPr="00016595">
              <w:rPr>
                <w:rFonts w:cs="宋体" w:hint="eastAsia"/>
              </w:rPr>
              <w:t>分</w:t>
            </w:r>
            <w:r w:rsidRPr="00016595">
              <w:t>-36</w:t>
            </w:r>
            <w:r w:rsidRPr="00016595">
              <w:rPr>
                <w:rFonts w:cs="宋体" w:hint="eastAsia"/>
              </w:rPr>
              <w:t>分）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题意符合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中心明确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t xml:space="preserve"> </w:t>
            </w:r>
            <w:r w:rsidRPr="00016595">
              <w:rPr>
                <w:rFonts w:cs="宋体" w:hint="eastAsia"/>
              </w:rPr>
              <w:t>内容具体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感情真挚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语言通顺</w:t>
            </w:r>
          </w:p>
          <w:p w:rsidR="00CD1BC1" w:rsidRPr="00016595">
            <w:pPr>
              <w:jc w:val="center"/>
            </w:pPr>
            <w:r w:rsidRPr="00016595">
              <w:rPr>
                <w:rFonts w:cs="宋体" w:hint="eastAsia"/>
              </w:rPr>
              <w:t>用词准确</w:t>
            </w:r>
            <w:r w:rsidRPr="00016595">
              <w:t xml:space="preserve"> 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表达明白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结构完整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层次分明</w:t>
            </w:r>
          </w:p>
        </w:tc>
      </w:tr>
      <w:tr>
        <w:tblPrEx>
          <w:tblW w:w="8940" w:type="dxa"/>
          <w:tblLayout w:type="fixed"/>
          <w:tblCellMar>
            <w:left w:w="0" w:type="dxa"/>
            <w:right w:w="0" w:type="dxa"/>
          </w:tblCellMar>
          <w:tblLook w:val="00A0"/>
        </w:tblPrEx>
        <w:trPr>
          <w:trHeight w:val="1374"/>
        </w:trPr>
        <w:tc>
          <w:tcPr>
            <w:tcW w:w="2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三等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t>(29</w:t>
            </w:r>
            <w:r w:rsidRPr="00016595">
              <w:rPr>
                <w:rFonts w:cs="宋体" w:hint="eastAsia"/>
              </w:rPr>
              <w:t>分</w:t>
            </w:r>
            <w:r w:rsidRPr="00016595">
              <w:t>-32</w:t>
            </w:r>
            <w:r w:rsidRPr="00016595">
              <w:rPr>
                <w:rFonts w:cs="宋体" w:hint="eastAsia"/>
              </w:rPr>
              <w:t>分）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CD1BC1" w:rsidRPr="00016595" w:rsidP="00CD1BC1">
            <w:pPr>
              <w:ind w:firstLine="420" w:firstLineChars="200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题意基本符合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中心基本明确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内容比较具体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感情比较真实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语言较通顺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语病常出现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表达较清楚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结构较完整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层次稍淸楚</w:t>
            </w:r>
          </w:p>
        </w:tc>
      </w:tr>
      <w:tr>
        <w:tblPrEx>
          <w:tblW w:w="8940" w:type="dxa"/>
          <w:tblLayout w:type="fixed"/>
          <w:tblCellMar>
            <w:left w:w="0" w:type="dxa"/>
            <w:right w:w="0" w:type="dxa"/>
          </w:tblCellMar>
          <w:tblLook w:val="00A0"/>
        </w:tblPrEx>
        <w:trPr>
          <w:trHeight w:val="1236"/>
        </w:trPr>
        <w:tc>
          <w:tcPr>
            <w:tcW w:w="2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四等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（</w:t>
            </w:r>
            <w:r w:rsidRPr="00016595">
              <w:t>25</w:t>
            </w:r>
            <w:r w:rsidRPr="00016595">
              <w:rPr>
                <w:rFonts w:cs="宋体" w:hint="eastAsia"/>
              </w:rPr>
              <w:t>分</w:t>
            </w:r>
            <w:r w:rsidRPr="00016595">
              <w:rPr>
                <w:rFonts w:cs="Times New Roman"/>
              </w:rPr>
              <w:t> </w:t>
            </w:r>
            <w:r w:rsidRPr="00016595">
              <w:t>-28</w:t>
            </w:r>
            <w:r w:rsidRPr="00016595">
              <w:rPr>
                <w:rFonts w:cs="宋体" w:hint="eastAsia"/>
              </w:rPr>
              <w:t>分）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主题不太合适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中心不太明确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内容不够具体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感情不够真实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语言大体通顺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语病出现较多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表达比较含糊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段落可以划分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条理不够清楚</w:t>
            </w:r>
          </w:p>
        </w:tc>
      </w:tr>
      <w:tr>
        <w:tblPrEx>
          <w:tblW w:w="8940" w:type="dxa"/>
          <w:tblLayout w:type="fixed"/>
          <w:tblCellMar>
            <w:left w:w="0" w:type="dxa"/>
            <w:right w:w="0" w:type="dxa"/>
          </w:tblCellMar>
          <w:tblLook w:val="00A0"/>
        </w:tblPrEx>
        <w:trPr>
          <w:trHeight w:val="1286"/>
        </w:trPr>
        <w:tc>
          <w:tcPr>
            <w:tcW w:w="2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五等</w:t>
            </w:r>
          </w:p>
          <w:p w:rsidR="00CD1BC1" w:rsidRPr="00016595">
            <w:pPr>
              <w:jc w:val="center"/>
            </w:pPr>
            <w:r w:rsidRPr="00016595">
              <w:t>(17</w:t>
            </w:r>
            <w:r w:rsidRPr="00016595">
              <w:rPr>
                <w:rFonts w:cs="宋体" w:hint="eastAsia"/>
              </w:rPr>
              <w:t>分</w:t>
            </w:r>
            <w:r w:rsidRPr="00016595">
              <w:rPr>
                <w:rFonts w:cs="Times New Roman"/>
              </w:rPr>
              <w:t> </w:t>
            </w:r>
            <w:r w:rsidRPr="00016595">
              <w:t>-24</w:t>
            </w:r>
            <w:r w:rsidRPr="00016595">
              <w:rPr>
                <w:rFonts w:cs="宋体" w:hint="eastAsia"/>
              </w:rPr>
              <w:t>分</w:t>
            </w:r>
            <w:r w:rsidRPr="00016595">
              <w:t>)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CD1BC1" w:rsidRPr="00016595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文不对题</w:t>
            </w:r>
          </w:p>
          <w:p w:rsidR="00CD1BC1" w:rsidRPr="00016595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词不达意</w:t>
            </w:r>
          </w:p>
          <w:p w:rsidR="00CD1BC1" w:rsidRPr="00016595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内容空洞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>
              <w:rPr>
                <w:rFonts w:ascii="宋体" w:hAnsi="宋体" w:cs="宋体" w:hint="eastAsia"/>
              </w:rPr>
              <w:t>感情匮乏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语句不通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用词不当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表达不清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结构混乱</w:t>
            </w:r>
          </w:p>
          <w:p w:rsidR="00CD1BC1" w:rsidRPr="00016595">
            <w:pPr>
              <w:jc w:val="center"/>
              <w:rPr>
                <w:rFonts w:cs="Times New Roman"/>
              </w:rPr>
            </w:pPr>
            <w:r w:rsidRPr="00016595">
              <w:rPr>
                <w:rFonts w:cs="宋体" w:hint="eastAsia"/>
              </w:rPr>
              <w:t>层次不清</w:t>
            </w:r>
          </w:p>
        </w:tc>
      </w:tr>
      <w:tr>
        <w:tblPrEx>
          <w:tblW w:w="8940" w:type="dxa"/>
          <w:tblLayout w:type="fixed"/>
          <w:tblCellMar>
            <w:left w:w="0" w:type="dxa"/>
            <w:right w:w="0" w:type="dxa"/>
          </w:tblCellMar>
          <w:tblLook w:val="00A0"/>
        </w:tblPrEx>
        <w:trPr>
          <w:trHeight w:val="712"/>
        </w:trPr>
        <w:tc>
          <w:tcPr>
            <w:tcW w:w="2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CD1BC1" w:rsidRPr="00016595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六等</w:t>
            </w:r>
          </w:p>
          <w:p w:rsidR="00CD1BC1" w:rsidRPr="00016595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(1</w:t>
            </w:r>
            <w:r>
              <w:rPr>
                <w:rFonts w:ascii="宋体" w:hAnsi="宋体" w:cs="宋体" w:hint="eastAsia"/>
              </w:rPr>
              <w:t>分</w:t>
            </w:r>
            <w:r>
              <w:rPr>
                <w:rFonts w:ascii="宋体" w:hAnsi="宋体" w:cs="宋体"/>
              </w:rPr>
              <w:t>-16</w:t>
            </w:r>
            <w:r>
              <w:rPr>
                <w:rFonts w:ascii="宋体" w:hAnsi="宋体" w:cs="宋体" w:hint="eastAsia"/>
              </w:rPr>
              <w:t>分）</w:t>
            </w:r>
          </w:p>
        </w:tc>
        <w:tc>
          <w:tcPr>
            <w:tcW w:w="67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CD1BC1" w:rsidRPr="00016595">
            <w:pPr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作文不符合写作要求，如：内容透露考生学校、姓名等真实信息；文体超出要求；字数不达要求等。</w:t>
            </w:r>
          </w:p>
        </w:tc>
      </w:tr>
      <w:tr>
        <w:tblPrEx>
          <w:tblW w:w="8940" w:type="dxa"/>
          <w:tblLayout w:type="fixed"/>
          <w:tblCellMar>
            <w:left w:w="0" w:type="dxa"/>
            <w:right w:w="0" w:type="dxa"/>
          </w:tblCellMar>
          <w:tblLook w:val="00A0"/>
        </w:tblPrEx>
        <w:trPr>
          <w:trHeight w:val="612"/>
        </w:trPr>
        <w:tc>
          <w:tcPr>
            <w:tcW w:w="2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CD1BC1" w:rsidRPr="00016595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七等</w:t>
            </w:r>
          </w:p>
          <w:p w:rsidR="00CD1BC1" w:rsidRPr="00016595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(0</w:t>
            </w:r>
            <w:r>
              <w:rPr>
                <w:rFonts w:ascii="宋体" w:hAnsi="宋体" w:cs="宋体" w:hint="eastAsia"/>
              </w:rPr>
              <w:t>分）</w:t>
            </w:r>
          </w:p>
        </w:tc>
        <w:tc>
          <w:tcPr>
            <w:tcW w:w="67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D1BC1" w:rsidRPr="00016595">
            <w:pPr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题意违法、违纪；没有文字等。</w:t>
            </w:r>
          </w:p>
        </w:tc>
      </w:tr>
      <w:tr>
        <w:tblPrEx>
          <w:tblW w:w="8940" w:type="dxa"/>
          <w:tblLayout w:type="fixed"/>
          <w:tblCellMar>
            <w:left w:w="0" w:type="dxa"/>
            <w:right w:w="0" w:type="dxa"/>
          </w:tblCellMar>
          <w:tblLook w:val="00A0"/>
        </w:tblPrEx>
        <w:trPr>
          <w:trHeight w:val="443"/>
        </w:trPr>
        <w:tc>
          <w:tcPr>
            <w:tcW w:w="89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CD1BC1" w:rsidRPr="00016595">
            <w:pPr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注：对于套写、抄袭的作文，适度降等。</w:t>
            </w:r>
          </w:p>
        </w:tc>
      </w:tr>
    </w:tbl>
    <w:p w:rsidR="00CD1BC1">
      <w:pPr>
        <w:rPr>
          <w:rFonts w:cs="Times New Roman"/>
          <w:sz w:val="24"/>
          <w:szCs w:val="24"/>
        </w:rPr>
      </w:pPr>
    </w:p>
    <w:p w:rsidR="00CD1BC1">
      <w:pPr>
        <w:rPr>
          <w:rFonts w:cs="Times New Roman"/>
          <w:sz w:val="24"/>
          <w:szCs w:val="24"/>
        </w:rPr>
      </w:pPr>
    </w:p>
    <w:sectPr w:rsidSect="0057089F">
      <w:headerReference w:type="default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BC1">
    <w:pPr>
      <w:pStyle w:val="Footer"/>
      <w:rPr>
        <w:rFonts w:cs="Times New Roman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2in;height:2in;margin-top:0;margin-left:0;mso-position-horizontal:center;mso-position-horizontal-relative:margin;mso-wrap-style:none;position:absolute;z-index:251658240" filled="f" stroked="f" strokeweight="0.5pt">
          <v:textbox style="mso-fit-shape-to-text:t" inset="0,0,0,0">
            <w:txbxContent>
              <w:p w:rsidR="00CD1BC1">
                <w:pPr>
                  <w:pStyle w:val="Footer"/>
                  <w:rPr>
                    <w:rFonts w:cs="Times New Roman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BC1" w:rsidP="00377E94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F83DCF"/>
    <w:multiLevelType w:val="singleLevel"/>
    <w:tmpl w:val="54F83DCF"/>
    <w:lvl w:ilvl="0">
      <w:start w:val="19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8DB93C8"/>
    <w:multiLevelType w:val="singleLevel"/>
    <w:tmpl w:val="58DB93C8"/>
    <w:lvl w:ilvl="0">
      <w:start w:val="2"/>
      <w:numFmt w:val="chineseCounting"/>
      <w:suff w:val="nothing"/>
      <w:lvlText w:val="%1、"/>
      <w:lvlJc w:val="left"/>
    </w:lvl>
  </w:abstractNum>
  <w:abstractNum w:abstractNumId="2">
    <w:nsid w:val="58E62095"/>
    <w:multiLevelType w:val="singleLevel"/>
    <w:tmpl w:val="58E62095"/>
    <w:lvl w:ilvl="0">
      <w:start w:val="7"/>
      <w:numFmt w:val="decimal"/>
      <w:suff w:val="space"/>
      <w:lvlText w:val="%1."/>
      <w:lvlJc w:val="left"/>
    </w:lvl>
  </w:abstractNum>
  <w:abstractNum w:abstractNumId="3">
    <w:nsid w:val="58E62341"/>
    <w:multiLevelType w:val="singleLevel"/>
    <w:tmpl w:val="58E62341"/>
    <w:lvl w:ilvl="0">
      <w:start w:val="9"/>
      <w:numFmt w:val="decimal"/>
      <w:suff w:val="nothing"/>
      <w:lvlText w:val="%1."/>
      <w:lvlJc w:val="left"/>
    </w:lvl>
  </w:abstractNum>
  <w:abstractNum w:abstractNumId="4">
    <w:nsid w:val="58E62B9D"/>
    <w:multiLevelType w:val="singleLevel"/>
    <w:tmpl w:val="58E62B9D"/>
    <w:lvl w:ilvl="0">
      <w:start w:val="20"/>
      <w:numFmt w:val="decimal"/>
      <w:suff w:val="nothing"/>
      <w:lvlText w:val="%1．"/>
      <w:lvlJc w:val="left"/>
    </w:lvl>
  </w:abstractNum>
  <w:abstractNum w:abstractNumId="5">
    <w:nsid w:val="58E62F58"/>
    <w:multiLevelType w:val="singleLevel"/>
    <w:tmpl w:val="58E62F58"/>
    <w:lvl w:ilvl="0">
      <w:start w:val="22"/>
      <w:numFmt w:val="decimal"/>
      <w:suff w:val="nothing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BAB1613"/>
    <w:rsid w:val="00016595"/>
    <w:rsid w:val="00270FEB"/>
    <w:rsid w:val="002F1217"/>
    <w:rsid w:val="00377E94"/>
    <w:rsid w:val="0057089F"/>
    <w:rsid w:val="00CD1BC1"/>
    <w:rsid w:val="01E424F4"/>
    <w:rsid w:val="02740875"/>
    <w:rsid w:val="030041C8"/>
    <w:rsid w:val="077419BC"/>
    <w:rsid w:val="08F91EB0"/>
    <w:rsid w:val="0BD810DF"/>
    <w:rsid w:val="0BF52CA5"/>
    <w:rsid w:val="0F897973"/>
    <w:rsid w:val="0FF20279"/>
    <w:rsid w:val="111F6E14"/>
    <w:rsid w:val="11AE08F9"/>
    <w:rsid w:val="11C97F17"/>
    <w:rsid w:val="13F93665"/>
    <w:rsid w:val="172479BF"/>
    <w:rsid w:val="1740326E"/>
    <w:rsid w:val="18D575DF"/>
    <w:rsid w:val="1C822663"/>
    <w:rsid w:val="1D7D0025"/>
    <w:rsid w:val="1DE32C74"/>
    <w:rsid w:val="1EC271F1"/>
    <w:rsid w:val="22DF19AA"/>
    <w:rsid w:val="236B55F4"/>
    <w:rsid w:val="27B62654"/>
    <w:rsid w:val="27BA0354"/>
    <w:rsid w:val="27CB654D"/>
    <w:rsid w:val="27F160C2"/>
    <w:rsid w:val="29FF6FC8"/>
    <w:rsid w:val="2AD94B98"/>
    <w:rsid w:val="2B5B04E8"/>
    <w:rsid w:val="2BAB1613"/>
    <w:rsid w:val="2CC93888"/>
    <w:rsid w:val="2D0E42B4"/>
    <w:rsid w:val="2DC0312E"/>
    <w:rsid w:val="2E5408D6"/>
    <w:rsid w:val="2E7D246E"/>
    <w:rsid w:val="303D0B61"/>
    <w:rsid w:val="30656D89"/>
    <w:rsid w:val="306D679E"/>
    <w:rsid w:val="31C24256"/>
    <w:rsid w:val="3294780E"/>
    <w:rsid w:val="33254C62"/>
    <w:rsid w:val="337C1158"/>
    <w:rsid w:val="350F4252"/>
    <w:rsid w:val="371B4CAD"/>
    <w:rsid w:val="37A9301F"/>
    <w:rsid w:val="39C61CEE"/>
    <w:rsid w:val="3C773586"/>
    <w:rsid w:val="3E4C0DCB"/>
    <w:rsid w:val="3F131333"/>
    <w:rsid w:val="3F463D16"/>
    <w:rsid w:val="3FB54462"/>
    <w:rsid w:val="41525F7A"/>
    <w:rsid w:val="422230C5"/>
    <w:rsid w:val="437E4A5A"/>
    <w:rsid w:val="44006E25"/>
    <w:rsid w:val="44BD3334"/>
    <w:rsid w:val="44CE17C5"/>
    <w:rsid w:val="48316CF1"/>
    <w:rsid w:val="492933F3"/>
    <w:rsid w:val="4B7C0AC8"/>
    <w:rsid w:val="4D987B8E"/>
    <w:rsid w:val="4E484EC6"/>
    <w:rsid w:val="50350F34"/>
    <w:rsid w:val="52211DCC"/>
    <w:rsid w:val="543746FC"/>
    <w:rsid w:val="5A5D0CB1"/>
    <w:rsid w:val="5BFE62CB"/>
    <w:rsid w:val="5F930F64"/>
    <w:rsid w:val="60FB4C33"/>
    <w:rsid w:val="61A06104"/>
    <w:rsid w:val="61D24EA0"/>
    <w:rsid w:val="626F4E50"/>
    <w:rsid w:val="62E25E9F"/>
    <w:rsid w:val="64A3628F"/>
    <w:rsid w:val="64E66B05"/>
    <w:rsid w:val="661524FB"/>
    <w:rsid w:val="66667929"/>
    <w:rsid w:val="67857CE3"/>
    <w:rsid w:val="696538A9"/>
    <w:rsid w:val="696719F2"/>
    <w:rsid w:val="6B27052C"/>
    <w:rsid w:val="6CDB55D5"/>
    <w:rsid w:val="6EDE2D24"/>
    <w:rsid w:val="701D31B0"/>
    <w:rsid w:val="712055EC"/>
    <w:rsid w:val="73433784"/>
    <w:rsid w:val="73BB757D"/>
    <w:rsid w:val="74A852D4"/>
    <w:rsid w:val="750354FC"/>
    <w:rsid w:val="75C01B23"/>
    <w:rsid w:val="772E4522"/>
    <w:rsid w:val="77F04A3C"/>
    <w:rsid w:val="78436C4D"/>
    <w:rsid w:val="78717A26"/>
    <w:rsid w:val="788B573C"/>
    <w:rsid w:val="78AE0783"/>
    <w:rsid w:val="78E83B83"/>
    <w:rsid w:val="7DD901D6"/>
    <w:rsid w:val="7E915976"/>
    <w:rsid w:val="7FD70707"/>
  </w:rsids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89F"/>
    <w:pPr>
      <w:widowControl w:val="0"/>
      <w:jc w:val="both"/>
    </w:pPr>
    <w:rPr>
      <w:rFonts w:ascii="Calibri" w:hAnsi="Calibri" w:cs="Calibri"/>
      <w:szCs w:val="21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7089F"/>
    <w:pPr>
      <w:keepNext/>
      <w:keepLines/>
      <w:spacing w:line="413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19323A"/>
    <w:rPr>
      <w:rFonts w:ascii="Calibri" w:hAnsi="Calibri" w:cs="Calibri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5708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9323A"/>
    <w:rPr>
      <w:rFonts w:ascii="Calibri" w:hAnsi="Calibri" w:cs="Calibri"/>
      <w:sz w:val="18"/>
      <w:szCs w:val="18"/>
    </w:rPr>
  </w:style>
  <w:style w:type="paragraph" w:styleId="Header">
    <w:name w:val="header"/>
    <w:basedOn w:val="Normal"/>
    <w:link w:val="HeaderChar"/>
    <w:uiPriority w:val="99"/>
    <w:rsid w:val="0057089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9323A"/>
    <w:rPr>
      <w:rFonts w:ascii="Calibri" w:hAnsi="Calibri" w:cs="Calibri"/>
      <w:sz w:val="18"/>
      <w:szCs w:val="18"/>
    </w:rPr>
  </w:style>
  <w:style w:type="paragraph" w:styleId="NormalWeb">
    <w:name w:val="Normal (Web)"/>
    <w:basedOn w:val="Normal"/>
    <w:uiPriority w:val="99"/>
    <w:rsid w:val="0057089F"/>
    <w:pPr>
      <w:spacing w:beforeAutospacing="1" w:afterAutospacing="1"/>
      <w:jc w:val="left"/>
    </w:pPr>
    <w:rPr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339</Words>
  <Characters>1936</Characters>
  <Application>Microsoft Office Word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oempc</cp:lastModifiedBy>
  <cp:revision>2</cp:revision>
  <dcterms:created xsi:type="dcterms:W3CDTF">2017-04-06T10:41:00Z</dcterms:created>
  <dcterms:modified xsi:type="dcterms:W3CDTF">2020-01-07T09:58:00Z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D5CDD505-2E9C-101B-9397-08002B2CF9AE}" pid="3" name="KSORubyTemplateID" linkTarget="0">
    <vt:lpwstr>6</vt:lpwstr>
  </property>
</Properties>
</file>