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3pt;margin-top:839pt;margin-left:88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提分专练(二)</w:t>
      </w:r>
      <w:r>
        <w:rPr>
          <w:i/>
        </w:rPr>
        <w:t>　</w:t>
      </w:r>
      <w:r>
        <w:rPr>
          <w:b/>
        </w:rPr>
        <w:t>方程(组)与不等式(组)的综合应用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3325" name="线.EPS" descr="id:2147491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325199" name="线.EPS" descr="id:21474910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>|类型1|</w:t>
      </w:r>
      <w:r>
        <w:rPr>
          <w:i/>
        </w:rPr>
        <w:t>　</w:t>
      </w:r>
      <w:r>
        <w:t>解方程(组)与不等式(组)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[2019·潍坊]</w:t>
      </w:r>
      <w:r>
        <w:rPr>
          <w:rFonts w:ascii="Times New Roman" w:hAnsi="Times New Roman" w:eastAsiaTheme="minorEastAsia"/>
          <w:szCs w:val="21"/>
        </w:rPr>
        <w:t>已知关于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的解满足</w:t>
      </w:r>
      <w:r>
        <w:rPr>
          <w:rFonts w:ascii="Times New Roman" w:hAnsi="Times New Roman" w:eastAsiaTheme="minorEastAsia"/>
          <w:i/>
          <w:szCs w:val="21"/>
        </w:rPr>
        <w:t>x&gt;y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[2019·泰州]</w:t>
      </w:r>
      <w:r>
        <w:rPr>
          <w:rFonts w:ascii="Times New Roman" w:hAnsi="Times New Roman" w:eastAsiaTheme="minorEastAsia"/>
          <w:szCs w:val="21"/>
        </w:rPr>
        <w:t>解分式方程: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[2019·黄石]</w:t>
      </w:r>
      <w:r>
        <w:rPr>
          <w:rFonts w:ascii="Times New Roman" w:hAnsi="Times New Roman" w:eastAsiaTheme="minorEastAsia"/>
          <w:szCs w:val="21"/>
        </w:rPr>
        <w:t>若点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3326" name="图片 3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097027" name="图片 33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,2</w:t>
      </w:r>
      <w:r>
        <w:rPr>
          <w:rFonts w:ascii="Times New Roman" w:hAnsi="Times New Roman" w:eastAsiaTheme="minorEastAsia"/>
          <w:i/>
          <w:szCs w:val="21"/>
        </w:rPr>
        <w:t>x-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3327" name="图片 3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046547" name="图片 33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满足不等式组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10≥2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),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1≤7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求点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所在的象限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[2019·随州]</w:t>
      </w:r>
      <w:r>
        <w:rPr>
          <w:rFonts w:ascii="Times New Roman" w:hAnsi="Times New Roman" w:eastAsiaTheme="minorEastAsia"/>
          <w:szCs w:val="21"/>
        </w:rPr>
        <w:t>已知关于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的一元二次方程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(2</w:t>
      </w:r>
      <w:r>
        <w:rPr>
          <w:rFonts w:ascii="Times New Roman" w:hAnsi="Times New Roman" w:eastAsiaTheme="minorEastAsia"/>
          <w:i/>
          <w:szCs w:val="21"/>
        </w:rPr>
        <w:t>k+</w:t>
      </w:r>
      <w:r>
        <w:rPr>
          <w:rFonts w:ascii="Times New Roman" w:hAnsi="Times New Roman" w:eastAsiaTheme="minorEastAsia"/>
          <w:szCs w:val="21"/>
        </w:rPr>
        <w:t>1)</w:t>
      </w:r>
      <w:r>
        <w:rPr>
          <w:rFonts w:ascii="Times New Roman" w:hAnsi="Times New Roman" w:eastAsiaTheme="minorEastAsia"/>
          <w:i/>
          <w:szCs w:val="21"/>
        </w:rPr>
        <w:t>x+k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0有两个不相等的实数根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+x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3,求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的值及方程的根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t>|类型2|</w:t>
      </w:r>
      <w:r>
        <w:rPr>
          <w:i/>
        </w:rPr>
        <w:t>　</w:t>
      </w:r>
      <w:r>
        <w:t>方程与不等式的综合应用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[2019·衡阳]</w:t>
      </w:r>
      <w:r>
        <w:rPr>
          <w:rFonts w:ascii="Times New Roman" w:hAnsi="Times New Roman" w:eastAsiaTheme="minorEastAsia"/>
          <w:szCs w:val="21"/>
        </w:rPr>
        <w:t>某商店购进A,B两种商品,购买1个A商品比购买1个B商品多花10元,并且花费300元购买A商品和花费100元购买B商品的数量相等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(1)求购买一个A商品和一个B商品各需多少元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(2)商店准备购买A,B两种商品共80个,若A商品的数量不少于B商品数量的4倍,并且购买A,B商品的总费用不低于1000元且不高于1050元,那么商店有哪几种购买方案?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 w:hint="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[2018·昆明]</w:t>
      </w:r>
      <w:r>
        <w:rPr>
          <w:rFonts w:ascii="Times New Roman" w:hAnsi="Times New Roman" w:eastAsiaTheme="minorEastAsia"/>
          <w:szCs w:val="21"/>
        </w:rPr>
        <w:t>水是人类生命之源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为了鼓励居民节约用水,相关部门实行居民生活用水阶梯式计量水价政策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若居民每户用水量不超过10立方米,每立方米按现行居民生活用水水价收费(现行居民生活用水水价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基本水价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污水处理费);若每户每月用水量超过10立方米,则超过部分每立方米在基本水价基础上加价100%,每立方米污水处理费不变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甲用户4月份用水8立方米,缴水费27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6元;乙用户4月份用水12立方米,缴水费46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3元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(注:污水处理的立方数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实际生活用水的立方数)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(1)求每立方米的基本水价和每立方米的污水处理费各是多少元?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(2)如果某用户7月份生活用水水费计划不超过64元,那么该用户7月份最多可用水多少立方米?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[2019·孝感]</w:t>
      </w:r>
      <w:r>
        <w:rPr>
          <w:rFonts w:ascii="Times New Roman" w:hAnsi="Times New Roman" w:eastAsiaTheme="minorEastAsia"/>
          <w:szCs w:val="21"/>
        </w:rPr>
        <w:t>为加快“智慧校园”建设,某市准备为试点学校采购一批A,B两种型号的一体机,经过市场调查发现,今年每套B型一体机的价格比每套A型一体机的价格多0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6万元,且用960万元恰好能购买500套A型一体机和200套B型一体机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(1)求今年每套A型、B型一体机的价格各是多少万元?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该市计划明年采购A型、B型一体机1100套,考虑物价因素,预计明年每套A型一体机的价格比今年上涨25%,每套B型一体机的价格不变,若购买B型一体机的总费用不低于购买A型一体机的总费用,那么该市明年至少需要投入多少万元才能完成采购计划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cs="宋体" w:hint="eastAsia"/>
                      <w:szCs w:val="21"/>
                    </w:rPr>
                    <m:t>①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cs="宋体" w:hint="eastAsia"/>
                      <w:szCs w:val="21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得: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5-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x&gt;y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5-</w:t>
      </w:r>
      <w:r>
        <w:rPr>
          <w:rFonts w:ascii="Times New Roman" w:hAnsi="Times New Roman" w:eastAsiaTheme="minorEastAsia"/>
          <w:i/>
          <w:szCs w:val="21"/>
        </w:rPr>
        <w:t>k&gt;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k&lt;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解:去分母得:2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-5+3(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-2)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-3,去括号得:2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-5+3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-6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-3,移项,合并得:2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8,系数化为1得: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4,经检验,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4是原分式方程的解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10≥2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)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cs="宋体" w:hint="eastAsia"/>
                      <w:szCs w:val="21"/>
                    </w:rPr>
                    <m:t>①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1≤7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宋体" w:hAnsi="宋体" w:cs="宋体" w:hint="eastAsia"/>
                      <w:szCs w:val="21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得: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≥4,解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得: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≤4,则不等式组的解集是: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4,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-9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的坐标为(1,-1),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在第四象限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解:(1)由题意可得</w:t>
      </w:r>
      <w:r>
        <w:rPr>
          <w:rFonts w:ascii="Times New Roman" w:hAnsi="Times New Roman" w:eastAsiaTheme="minorEastAsia"/>
          <w:i/>
          <w:szCs w:val="21"/>
        </w:rPr>
        <w:t>Δ=b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-4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[-(2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+1)]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-4(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+1)</w:t>
      </w:r>
      <w:r>
        <w:rPr>
          <w:rFonts w:ascii="Times New Roman" w:hAnsi="Times New Roman" w:eastAsiaTheme="minorEastAsia"/>
          <w:i/>
          <w:szCs w:val="21"/>
        </w:rPr>
        <w:t>&gt;</w:t>
      </w:r>
      <w:r>
        <w:rPr>
          <w:rFonts w:ascii="Times New Roman" w:hAnsi="Times New Roman" w:eastAsiaTheme="minorEastAsia"/>
          <w:szCs w:val="21"/>
        </w:rPr>
        <w:t>0,解得</w:t>
      </w:r>
      <w:r>
        <w:rPr>
          <w:rFonts w:ascii="Times New Roman" w:hAnsi="Times New Roman" w:eastAsiaTheme="minorEastAsia"/>
          <w:i/>
          <w:szCs w:val="21"/>
        </w:rPr>
        <w:t>k&gt;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(2)由根与系数关系可知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+1,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3,解得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&gt;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(符合题意),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1代回原方程,原方程为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解:(1)设购买一个B商品为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元,则购买一个A商品为(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+10)元,根据题意,得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300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经检验,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5是原方程的解且符合题意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5+10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所以购买一个A商品需要15元,购买一个B商品需要5元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(2)设购买A商品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个,则购买B商品(80-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)个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≥4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),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1000≤15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≤1050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解得64≤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≤65,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所以有两种购买方案: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买A商品64个,B商品16个;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买A商品65个,B商品15个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 w:hint="eastAsia"/>
          <w:i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解:(1)设每立方米的基本水价和每立方米的污水处理费各是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元,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由题意可得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+8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=27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×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1+100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%)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答:每立方米的基本水价和每立方米的污水处理费各是2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45元,1元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(2)设该用户7月份用水</w:t>
      </w:r>
      <w:r>
        <w:rPr>
          <w:rFonts w:ascii="Times New Roman" w:hAnsi="Times New Roman" w:eastAsiaTheme="minorEastAsia"/>
          <w:i/>
          <w:szCs w:val="21"/>
        </w:rPr>
        <w:t>z</w:t>
      </w:r>
      <w:r>
        <w:rPr>
          <w:rFonts w:ascii="Times New Roman" w:hAnsi="Times New Roman" w:eastAsiaTheme="minorEastAsia"/>
          <w:szCs w:val="21"/>
        </w:rPr>
        <w:t>立方米,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64</w:t>
      </w:r>
      <w:r>
        <w:rPr>
          <w:rFonts w:ascii="Times New Roman" w:hAnsi="Times New Roman" w:eastAsiaTheme="minorEastAsia"/>
          <w:i/>
          <w:szCs w:val="21"/>
        </w:rPr>
        <w:t>&gt;</w:t>
      </w:r>
      <w:r>
        <w:rPr>
          <w:rFonts w:ascii="Times New Roman" w:hAnsi="Times New Roman" w:eastAsiaTheme="minorEastAsia"/>
          <w:szCs w:val="21"/>
        </w:rPr>
        <w:t>10×(1+2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45),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z&gt;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由题意得10×2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45+(</w:t>
      </w:r>
      <w:r>
        <w:rPr>
          <w:rFonts w:ascii="Times New Roman" w:hAnsi="Times New Roman" w:eastAsiaTheme="minorEastAsia"/>
          <w:i/>
          <w:szCs w:val="21"/>
        </w:rPr>
        <w:t>z</w:t>
      </w:r>
      <w:r>
        <w:rPr>
          <w:rFonts w:ascii="Times New Roman" w:hAnsi="Times New Roman" w:eastAsiaTheme="minorEastAsia"/>
          <w:szCs w:val="21"/>
        </w:rPr>
        <w:t>-10)×2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45×(1+100%)+</w:t>
      </w:r>
      <w:r>
        <w:rPr>
          <w:rFonts w:ascii="Times New Roman" w:hAnsi="Times New Roman" w:eastAsiaTheme="minorEastAsia"/>
          <w:i/>
          <w:szCs w:val="21"/>
        </w:rPr>
        <w:t>z</w:t>
      </w:r>
      <w:r>
        <w:rPr>
          <w:rFonts w:ascii="Times New Roman" w:hAnsi="Times New Roman" w:eastAsiaTheme="minorEastAsia"/>
          <w:szCs w:val="21"/>
        </w:rPr>
        <w:t>≤64,解得</w:t>
      </w:r>
      <w:r>
        <w:rPr>
          <w:rFonts w:ascii="Times New Roman" w:hAnsi="Times New Roman" w:eastAsiaTheme="minorEastAsia"/>
          <w:i/>
          <w:szCs w:val="21"/>
        </w:rPr>
        <w:t>z</w:t>
      </w:r>
      <w:r>
        <w:rPr>
          <w:rFonts w:ascii="Times New Roman" w:hAnsi="Times New Roman" w:eastAsiaTheme="minorEastAsia"/>
          <w:szCs w:val="21"/>
        </w:rPr>
        <w:t>≤15,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&lt;z</w:t>
      </w:r>
      <w:r>
        <w:rPr>
          <w:rFonts w:ascii="Times New Roman" w:hAnsi="Times New Roman" w:eastAsiaTheme="minorEastAsia"/>
          <w:szCs w:val="21"/>
        </w:rPr>
        <w:t>≤15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答:该用户7月份最多可用水15立方米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解:(1)设今年每套A型一体机的价格为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万元,每套B型一体机的价格为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万元,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500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+200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=960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答:今年每套A型一体机的价格为1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2万元,每套B型一体机的价格为1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8万元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(2)设该市明年购买A型一体机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套,则购买B型一体机(1100-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)套,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由题意得:1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8(1100-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)≥1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2(1+25%)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≤600,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设明年需投入</w:t>
      </w:r>
      <w:r>
        <w:rPr>
          <w:rFonts w:ascii="Times New Roman" w:hAnsi="Times New Roman" w:eastAsiaTheme="minorEastAsia"/>
          <w:i/>
          <w:szCs w:val="21"/>
        </w:rPr>
        <w:t>W</w:t>
      </w:r>
      <w:r>
        <w:rPr>
          <w:rFonts w:ascii="Times New Roman" w:hAnsi="Times New Roman" w:eastAsiaTheme="minorEastAsia"/>
          <w:szCs w:val="21"/>
        </w:rPr>
        <w:t>万元,则</w:t>
      </w:r>
      <w:r>
        <w:rPr>
          <w:rFonts w:ascii="Times New Roman" w:hAnsi="Times New Roman" w:eastAsiaTheme="minorEastAsia"/>
          <w:i/>
          <w:szCs w:val="21"/>
        </w:rPr>
        <w:t>W=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2×(1+25%)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+1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8(1100-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+1980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-0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&lt;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W</w:t>
      </w:r>
      <w:r>
        <w:rPr>
          <w:rFonts w:ascii="Times New Roman" w:hAnsi="Times New Roman" w:eastAsiaTheme="minorEastAsia"/>
          <w:szCs w:val="21"/>
        </w:rPr>
        <w:t>随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的增大而减小,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≤600,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600时,</w:t>
      </w:r>
      <w:r>
        <w:rPr>
          <w:rFonts w:ascii="Times New Roman" w:hAnsi="Times New Roman" w:eastAsiaTheme="minorEastAsia"/>
          <w:i/>
          <w:szCs w:val="21"/>
        </w:rPr>
        <w:t>W</w:t>
      </w:r>
      <w:r>
        <w:rPr>
          <w:rFonts w:ascii="Times New Roman" w:hAnsi="Times New Roman" w:eastAsiaTheme="minorEastAsia"/>
          <w:szCs w:val="21"/>
        </w:rPr>
        <w:t>有最小值为-0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3×600+1980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1800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答:该市明年至少需投入1800万元才能完成采购计划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rPr>
          <w:szCs w:val="21"/>
        </w:rPr>
      </w:pPr>
    </w:p>
    <w:sectPr>
      <w:headerReference w:type="even" r:id="rId9"/>
      <w:headerReference w:type="first" r:id="rId10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7FF"/>
    <w:rsid w:val="00013EB0"/>
    <w:rsid w:val="00014FF3"/>
    <w:rsid w:val="00015E31"/>
    <w:rsid w:val="00017BB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57C1"/>
    <w:rsid w:val="002A60D0"/>
    <w:rsid w:val="002A6931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56DC7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464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D317E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95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30E8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0DC7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3170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0CF0"/>
    <w:rsid w:val="009A1D29"/>
    <w:rsid w:val="009A40AA"/>
    <w:rsid w:val="009A5440"/>
    <w:rsid w:val="009A6660"/>
    <w:rsid w:val="009A72EA"/>
    <w:rsid w:val="009B2BC6"/>
    <w:rsid w:val="009B49A7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4AB6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0354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07416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19BD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6021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62FF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397816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/>
    <w:lsdException w:name="Emphasis" w:semiHidden="0" w:uiPriority="20" w:unhideWhenUsed="0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微软雅黑" w:eastAsia="微软雅黑" w:hAnsi="微软雅黑" w:cs="微软雅黑"/>
      <w:iCs/>
      <w:color w:val="666666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1494</Words>
  <Characters>2237</Characters>
  <Application>Microsoft Office Word</Application>
  <DocSecurity>0</DocSecurity>
  <Lines>17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36</cp:revision>
  <cp:lastPrinted>2016-09-05T09:15:00Z</cp:lastPrinted>
  <dcterms:created xsi:type="dcterms:W3CDTF">2019-08-22T04:01:00Z</dcterms:created>
  <dcterms:modified xsi:type="dcterms:W3CDTF">2020-02-10T12:22:52Z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