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bCs/>
          <w:kern w:val="21"/>
          <w:sz w:val="30"/>
          <w:szCs w:val="30"/>
        </w:rPr>
      </w:pPr>
      <w:r>
        <w:rPr>
          <w:rFonts w:hint="eastAsia" w:ascii="宋体" w:hAnsi="宋体"/>
          <w:b/>
          <w:bCs/>
          <w:kern w:val="21"/>
          <w:sz w:val="30"/>
          <w:szCs w:val="30"/>
        </w:rPr>
        <w:pict>
          <v:shape id="_x0000_s1025" o:spid="_x0000_s1025" o:spt="75" type="#_x0000_t75" style="position:absolute;left:0pt;margin-left:977pt;margin-top:913pt;height:31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b/>
          <w:bCs/>
          <w:kern w:val="21"/>
          <w:sz w:val="30"/>
          <w:szCs w:val="30"/>
        </w:rPr>
        <w:t>2019年春季学期七年级期末调研检测语文参考答案</w:t>
      </w:r>
    </w:p>
    <w:p>
      <w:pPr>
        <w:spacing w:line="360" w:lineRule="auto"/>
        <w:jc w:val="center"/>
        <w:rPr>
          <w:rFonts w:ascii="宋体" w:hAnsi="宋体"/>
          <w:b/>
          <w:bCs/>
          <w:kern w:val="21"/>
          <w:sz w:val="30"/>
          <w:szCs w:val="30"/>
        </w:rPr>
      </w:pPr>
    </w:p>
    <w:tbl>
      <w:tblPr>
        <w:tblStyle w:val="6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478"/>
        <w:gridCol w:w="478"/>
        <w:gridCol w:w="478"/>
        <w:gridCol w:w="477"/>
        <w:gridCol w:w="477"/>
        <w:gridCol w:w="477"/>
        <w:gridCol w:w="477"/>
        <w:gridCol w:w="477"/>
        <w:gridCol w:w="477"/>
        <w:gridCol w:w="648"/>
        <w:gridCol w:w="648"/>
        <w:gridCol w:w="648"/>
        <w:gridCol w:w="648"/>
        <w:gridCol w:w="648"/>
        <w:gridCol w:w="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题</w:t>
            </w: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  <w:lang w:val="zh-CN"/>
              </w:rPr>
              <w:drawing>
                <wp:inline distT="0" distB="0" distL="0" distR="0">
                  <wp:extent cx="21590" cy="16510"/>
                  <wp:effectExtent l="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号</w:t>
            </w:r>
          </w:p>
        </w:tc>
        <w:tc>
          <w:tcPr>
            <w:tcW w:w="47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7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7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仿宋_GB2312" w:hAnsi="微软雅黑" w:eastAsia="仿宋_GB2312" w:cs="Times New Roman"/>
                <w:color w:val="FFFFFF"/>
                <w:sz w:val="4"/>
                <w:szCs w:val="24"/>
                <w:shd w:val="clear" w:color="auto" w:fill="FFFFFF"/>
              </w:rPr>
              <w:t>[来源:学科网]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答案</w:t>
            </w:r>
          </w:p>
        </w:tc>
        <w:tc>
          <w:tcPr>
            <w:tcW w:w="47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B</w:t>
            </w:r>
          </w:p>
        </w:tc>
        <w:tc>
          <w:tcPr>
            <w:tcW w:w="47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A</w:t>
            </w:r>
          </w:p>
        </w:tc>
        <w:tc>
          <w:tcPr>
            <w:tcW w:w="47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D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D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C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B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A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C</w:t>
            </w:r>
          </w:p>
        </w:tc>
        <w:tc>
          <w:tcPr>
            <w:tcW w:w="477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A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D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A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C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B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A</w:t>
            </w:r>
          </w:p>
        </w:tc>
        <w:tc>
          <w:tcPr>
            <w:tcW w:w="648" w:type="dxa"/>
          </w:tcPr>
          <w:p>
            <w:pPr>
              <w:jc w:val="center"/>
              <w:rPr>
                <w:rFonts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微软雅黑" w:eastAsia="仿宋_GB2312" w:cs="Times New Roman"/>
                <w:color w:val="423B3B"/>
                <w:sz w:val="24"/>
                <w:szCs w:val="24"/>
                <w:shd w:val="clear" w:color="auto" w:fill="FFFFFF"/>
              </w:rPr>
              <w:t>D</w:t>
            </w:r>
          </w:p>
        </w:tc>
      </w:tr>
    </w:tbl>
    <w:p>
      <w:pPr>
        <w:spacing w:line="360" w:lineRule="auto"/>
        <w:jc w:val="center"/>
        <w:rPr>
          <w:rFonts w:ascii="仿宋_GB2312" w:hAnsi="仿宋" w:eastAsia="仿宋_GB2312" w:cs="Times New Roman"/>
          <w:b/>
          <w:bCs/>
          <w:kern w:val="21"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kern w:val="21"/>
          <w:sz w:val="24"/>
          <w:szCs w:val="24"/>
        </w:rPr>
        <w:t>第I卷（选择题　共３０分）</w:t>
      </w:r>
    </w:p>
    <w:p>
      <w:pPr>
        <w:spacing w:line="360" w:lineRule="auto"/>
        <w:rPr>
          <w:rFonts w:ascii="仿宋_GB2312" w:hAnsi="仿宋" w:eastAsia="仿宋_GB2312" w:cs="Times New Roman"/>
          <w:b/>
          <w:bCs/>
          <w:kern w:val="21"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kern w:val="21"/>
          <w:sz w:val="24"/>
          <w:szCs w:val="24"/>
        </w:rPr>
        <w:t>一积累与运用（第小题２分，共１６分）</w:t>
      </w:r>
    </w:p>
    <w:p>
      <w:pPr>
        <w:rPr>
          <w:rFonts w:ascii="仿宋_GB2312" w:eastAsia="仿宋_GB2312"/>
          <w:color w:val="1E1E1E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1E1E1E"/>
          <w:sz w:val="24"/>
          <w:szCs w:val="24"/>
          <w:shd w:val="clear" w:color="auto" w:fill="FFFFFF"/>
        </w:rPr>
        <w:t>1.B项（“廓”应读kuò）</w:t>
      </w:r>
    </w:p>
    <w:p>
      <w:pPr>
        <w:rPr>
          <w:rFonts w:ascii="仿宋_GB2312" w:eastAsia="仿宋_GB2312"/>
          <w:color w:val="1E1E1E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1E1E1E"/>
          <w:sz w:val="24"/>
          <w:szCs w:val="24"/>
          <w:shd w:val="clear" w:color="auto" w:fill="FFFFFF"/>
        </w:rPr>
        <w:t>2.A（B项：竹蔑—竹篾  C项：诲人不卷—诲人不倦  D项：高梁—高粱）</w:t>
      </w:r>
    </w:p>
    <w:p>
      <w:pPr>
        <w:rPr>
          <w:rFonts w:ascii="仿宋_GB2312" w:eastAsia="仿宋_GB2312"/>
          <w:color w:val="1E1E1E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1E1E1E"/>
          <w:sz w:val="24"/>
          <w:szCs w:val="24"/>
          <w:shd w:val="clear" w:color="auto" w:fill="FFFFFF"/>
        </w:rPr>
        <w:t>3.D（一路小跑和姗姗来迟矛盾， 姗姗来迟是说慢吞吞的才出现。）</w:t>
      </w:r>
    </w:p>
    <w:p>
      <w:pPr>
        <w:ind w:left="240" w:hanging="240" w:hangingChars="10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1E1E1E"/>
          <w:sz w:val="24"/>
          <w:szCs w:val="24"/>
          <w:shd w:val="clear" w:color="auto" w:fill="FFFFFF"/>
        </w:rPr>
        <w:t>4.D（A项：语序不当，“</w:t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洁白的一串串槐花”应改为“一串串洁白的槐花”。B项：缺宾语，在句未加上“活动”。C项：产生歧义，“</w:t>
      </w:r>
      <w:r>
        <w:rPr>
          <w:rFonts w:hint="eastAsia" w:ascii="仿宋_GB2312" w:eastAsia="仿宋_GB2312" w:hAnsiTheme="minorEastAsia"/>
          <w:spacing w:val="-6"/>
          <w:sz w:val="24"/>
          <w:szCs w:val="24"/>
        </w:rPr>
        <w:t>三个学校的领导”</w:t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改为“学校的三位领导”。）</w:t>
      </w:r>
    </w:p>
    <w:p>
      <w:pPr>
        <w:ind w:left="240" w:hanging="256" w:hangingChars="10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5.C（A项：用命令、责怪的的语气对等奶奶不得体。B项：有嫌弃的意思，不得体：D项：“迅速还我！”语气过于强硬，表达不得体。）</w:t>
      </w:r>
    </w:p>
    <w:p>
      <w:pP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6</w:t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drawing>
          <wp:inline distT="0" distB="0" distL="0" distR="0">
            <wp:extent cx="1651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.B（看</w:t>
      </w:r>
      <w:r>
        <w:rPr>
          <w:rFonts w:hint="eastAsia" w:ascii="仿宋_GB2312" w:hAnsi="Calibri" w:eastAsia="仿宋_GB2312" w:cs="Times New Roman"/>
          <w:color w:val="333333"/>
          <w:spacing w:val="8"/>
          <w:sz w:val="24"/>
          <w:szCs w:val="24"/>
          <w:shd w:val="clear" w:color="auto" w:fill="FFFFFF"/>
        </w:rPr>
        <w:t>句子前后的逻辑关系。）</w:t>
      </w:r>
    </w:p>
    <w:p>
      <w:pPr>
        <w:rPr>
          <w:rFonts w:ascii="仿宋_GB2312" w:hAnsi="Calibri" w:eastAsia="仿宋_GB2312" w:cs="Times New Roman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hAnsi="Calibri" w:eastAsia="仿宋_GB2312" w:cs="Times New Roman"/>
          <w:color w:val="333333"/>
          <w:spacing w:val="8"/>
          <w:sz w:val="24"/>
          <w:szCs w:val="24"/>
          <w:shd w:val="clear" w:color="auto" w:fill="FFFFFF"/>
        </w:rPr>
        <w:t>7.A（《木兰诗》是南北朝时北方的一首</w:t>
      </w:r>
      <w:r>
        <w:fldChar w:fldCharType="begin"/>
      </w:r>
      <w:r>
        <w:instrText xml:space="preserve"> HYPERLINK "http://www.so.com/s?q=%E6%B0%91%E6%AD%8C&amp;ie=utf-8&amp;src=internal_wenda_recommend_textn" \t "_blank" </w:instrText>
      </w:r>
      <w:r>
        <w:fldChar w:fldCharType="separate"/>
      </w:r>
      <w:r>
        <w:rPr>
          <w:rFonts w:hint="eastAsia" w:ascii="仿宋_GB2312" w:hAnsi="Calibri" w:eastAsia="仿宋_GB2312" w:cs="Times New Roman"/>
          <w:color w:val="333333"/>
          <w:spacing w:val="8"/>
          <w:sz w:val="24"/>
          <w:szCs w:val="24"/>
          <w:shd w:val="clear" w:color="auto" w:fill="FFFFFF"/>
        </w:rPr>
        <w:t>民歌</w:t>
      </w:r>
      <w:r>
        <w:rPr>
          <w:rFonts w:hint="eastAsia" w:ascii="仿宋_GB2312" w:hAnsi="Calibri" w:eastAsia="仿宋_GB2312" w:cs="Times New Roman"/>
          <w:color w:val="333333"/>
          <w:spacing w:val="8"/>
          <w:sz w:val="24"/>
          <w:szCs w:val="24"/>
          <w:shd w:val="clear" w:color="auto" w:fill="FFFFFF"/>
        </w:rPr>
        <w:fldChar w:fldCharType="end"/>
      </w:r>
      <w:r>
        <w:rPr>
          <w:rFonts w:hint="eastAsia" w:ascii="仿宋_GB2312" w:hAnsi="Calibri" w:eastAsia="仿宋_GB2312" w:cs="Times New Roman"/>
          <w:color w:val="333333"/>
          <w:spacing w:val="8"/>
          <w:sz w:val="24"/>
          <w:szCs w:val="24"/>
          <w:shd w:val="clear" w:color="auto" w:fill="FFFFFF"/>
        </w:rPr>
        <w:t>。）</w:t>
      </w:r>
    </w:p>
    <w:p>
      <w:pPr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333333"/>
          <w:spacing w:val="8"/>
          <w:sz w:val="24"/>
          <w:szCs w:val="24"/>
          <w:shd w:val="clear" w:color="auto" w:fill="FFFFFF"/>
        </w:rPr>
        <w:t>8.C（</w:t>
      </w:r>
      <w:r>
        <w:rPr>
          <w:rFonts w:hint="eastAsia" w:ascii="仿宋_GB2312" w:eastAsia="仿宋_GB2312" w:hAnsiTheme="minorEastAsia"/>
          <w:sz w:val="24"/>
          <w:szCs w:val="24"/>
        </w:rPr>
        <w:t>父亲让我背的是《鉴略》。）</w:t>
      </w:r>
    </w:p>
    <w:p>
      <w:pPr>
        <w:rPr>
          <w:rFonts w:ascii="仿宋_GB2312" w:hAnsi="仿宋" w:eastAsia="仿宋_GB2312" w:cs="Times New Roman"/>
          <w:b/>
          <w:bCs/>
          <w:kern w:val="21"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kern w:val="21"/>
          <w:sz w:val="24"/>
          <w:szCs w:val="24"/>
        </w:rPr>
        <w:t>二、现代文阅读（一）（每小题2分，共6分）</w:t>
      </w:r>
    </w:p>
    <w:p>
      <w:pPr>
        <w:adjustRightInd w:val="0"/>
        <w:snapToGrid w:val="0"/>
        <w:spacing w:line="360" w:lineRule="exact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9.A（“从局</w:t>
      </w:r>
      <w:r>
        <w:rPr>
          <w:rFonts w:hint="eastAsia" w:ascii="仿宋_GB2312" w:eastAsia="仿宋_GB2312" w:hAnsiTheme="minorEastAsia"/>
          <w:sz w:val="24"/>
          <w:szCs w:val="24"/>
          <w:lang w:val="zh-CN"/>
        </w:rPr>
        <w:drawing>
          <wp:inline distT="0" distB="0" distL="0" distR="0">
            <wp:extent cx="2159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 w:hAnsiTheme="minorEastAsia"/>
          <w:sz w:val="24"/>
          <w:szCs w:val="24"/>
        </w:rPr>
        <w:t>部到整体到细节的顺序对盛开的紫藤萝进行描写。”应是“从整体到局部”。）</w:t>
      </w:r>
    </w:p>
    <w:p>
      <w:pPr>
        <w:adjustRightInd w:val="0"/>
        <w:snapToGrid w:val="0"/>
        <w:spacing w:line="360" w:lineRule="exact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10.D（从听觉的角度。）</w:t>
      </w:r>
    </w:p>
    <w:p>
      <w:pPr>
        <w:adjustRightInd w:val="0"/>
        <w:snapToGrid w:val="0"/>
        <w:spacing w:line="360" w:lineRule="exact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11.A（B、C、D选项都是紫藤萝花的局部特征。）</w:t>
      </w:r>
    </w:p>
    <w:p>
      <w:pPr>
        <w:adjustRightInd w:val="0"/>
        <w:snapToGrid w:val="0"/>
        <w:spacing w:line="360" w:lineRule="exact"/>
        <w:rPr>
          <w:rFonts w:ascii="仿宋_GB2312" w:hAnsi="仿宋" w:eastAsia="仿宋_GB2312" w:cs="Times New Roman"/>
          <w:b/>
          <w:bCs/>
          <w:spacing w:val="-12"/>
          <w:kern w:val="21"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kern w:val="21"/>
          <w:sz w:val="24"/>
          <w:szCs w:val="24"/>
        </w:rPr>
        <w:t>三、古诗文阅读</w:t>
      </w:r>
      <w:r>
        <w:rPr>
          <w:rFonts w:hint="eastAsia" w:ascii="仿宋_GB2312" w:hAnsi="仿宋" w:eastAsia="仿宋_GB2312" w:cs="Times New Roman"/>
          <w:b/>
          <w:bCs/>
          <w:spacing w:val="-12"/>
          <w:kern w:val="21"/>
          <w:sz w:val="24"/>
          <w:szCs w:val="24"/>
        </w:rPr>
        <w:t>（12～15小题，每小题2分，共8分；16～19小题，共10分；本大题18分）</w:t>
      </w:r>
    </w:p>
    <w:p>
      <w:pPr>
        <w:ind w:left="360" w:hanging="384" w:hangingChars="1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12.C（“诗人登上泰山顶峰”说法不当，“会当凌绝顶”表达的是诗人登临泰山顶峰的决心。）</w:t>
      </w:r>
    </w:p>
    <w:p>
      <w:pPr>
        <w:ind w:left="360" w:hanging="384" w:hangingChars="1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13.B 听说（A项：经过，经历；阅读。C项：停止；已经。D项：于是；用作状语，“从通</w:t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  <w:lang w:val="zh-CN"/>
        </w:rPr>
        <w:drawing>
          <wp:inline distT="0" distB="0" distL="0" distR="0">
            <wp:extent cx="2159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道”的意思。）</w:t>
      </w:r>
    </w:p>
    <w:p>
      <w:pPr>
        <w:ind w:left="360" w:hanging="384" w:hangingChars="1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14.A 在（B项：表示判断，“是”的意思；于是。C项：代词，指代石兽；助词，宾语前置的标志，无义。D项：代词，他；代词，其中的。）</w:t>
      </w:r>
    </w:p>
    <w:p>
      <w:pP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15.D（实际经验有时比书本知识更可靠。）</w:t>
      </w:r>
    </w:p>
    <w:p>
      <w:pPr>
        <w:ind w:left="360" w:hanging="384" w:hangingChars="1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16.（</w:t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drawing>
          <wp:inline distT="0" distB="0" distL="0" distR="0">
            <wp:extent cx="1651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1）这（石兽）不是木片，怎么能被暴涨的洪水带走呢？（2分，意对即可。）</w:t>
      </w:r>
      <w: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  <w:drawing>
          <wp:inline distT="0" distB="0" distL="0" distR="0">
            <wp:extent cx="2286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20" w:hanging="768" w:hangingChars="300"/>
        <w:rPr>
          <w:rFonts w:ascii="仿宋_GB2312" w:eastAsia="仿宋_GB2312"/>
          <w:color w:val="333333"/>
          <w:spacing w:val="-2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 xml:space="preserve">  </w:t>
      </w:r>
      <w:r>
        <w:rPr>
          <w:rFonts w:hint="eastAsia" w:ascii="仿宋_GB2312" w:eastAsia="仿宋_GB2312"/>
          <w:color w:val="333333"/>
          <w:spacing w:val="-2"/>
          <w:sz w:val="24"/>
          <w:szCs w:val="24"/>
          <w:shd w:val="clear" w:color="auto" w:fill="FFFFFF"/>
        </w:rPr>
        <w:t>（2）既然这样，那么天下的事，只知道表面现象，不知道其中根本道理的人和事有很多啊，难道可以根据自己所知道的道理主观判断吗？（2分，意对即可。）</w:t>
      </w:r>
    </w:p>
    <w:p>
      <w:pP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17.（1）寻找（1分）      （2）……的人（1分）</w:t>
      </w:r>
    </w:p>
    <w:p>
      <w:pP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18.这样去找剑，不是很糊涂吗？（2分，每句分，意对即可。）</w:t>
      </w:r>
    </w:p>
    <w:p>
      <w:pP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19.楚人与讲学家都脱离实际。</w:t>
      </w:r>
    </w:p>
    <w:p>
      <w:pPr>
        <w:ind w:firstLine="514" w:firstLineChars="200"/>
        <w:rPr>
          <w:rFonts w:ascii="仿宋_GB2312" w:eastAsia="仿宋_GB2312"/>
          <w:b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b/>
          <w:color w:val="333333"/>
          <w:spacing w:val="8"/>
          <w:sz w:val="24"/>
          <w:szCs w:val="24"/>
          <w:shd w:val="clear" w:color="auto" w:fill="FFFFFF"/>
        </w:rPr>
        <w:t>《刻舟求剑》参考译文</w:t>
      </w:r>
    </w:p>
    <w:p>
      <w:pPr>
        <w:ind w:firstLine="640" w:firstLineChars="250"/>
        <w:rPr>
          <w:rFonts w:ascii="楷体" w:hAnsi="楷体" w:eastAsia="楷体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333333"/>
          <w:spacing w:val="8"/>
          <w:sz w:val="24"/>
          <w:szCs w:val="24"/>
          <w:shd w:val="clear" w:color="auto" w:fill="FFFFFF"/>
        </w:rPr>
        <w:t>有个楚国人乘船过江时，剑从船上掉进水里，他就在船帮上刻下一个记号，说：“这是我的剑掉下去的地方。”等船靠岸，他就从刻记号的地方跳进水里去找剑。船已走了很远，而剑却没走，这样去找剑，不是很糊涂吗？</w:t>
      </w:r>
    </w:p>
    <w:p>
      <w:pPr>
        <w:rPr>
          <w:rFonts w:ascii="仿宋_GB2312" w:hAnsi="仿宋" w:eastAsia="仿宋_GB2312" w:cs="Times New Roman"/>
          <w:b/>
          <w:bCs/>
          <w:kern w:val="21"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kern w:val="21"/>
          <w:sz w:val="24"/>
          <w:szCs w:val="24"/>
        </w:rPr>
        <w:t>四、古诗文默写（共10分）</w:t>
      </w:r>
    </w:p>
    <w:p>
      <w:pP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20.（1）朔气传金柝（2）濯清涟而不妖（3）拄杖无时夜叩门（4）闲敲棋子落灯花（5）落红不是无情物，化作春泥更护花。（6）飞来山上千寻塔，闻说鸡鸣见日升。不畏浮云遮望眼，自缘身在最高层。</w:t>
      </w:r>
    </w:p>
    <w:p>
      <w:pPr>
        <w:rPr>
          <w:rFonts w:ascii="仿宋_GB2312" w:hAnsi="仿宋" w:eastAsia="仿宋_GB2312" w:cs="Times New Roman"/>
          <w:b/>
          <w:bCs/>
          <w:kern w:val="21"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kern w:val="21"/>
          <w:sz w:val="24"/>
          <w:szCs w:val="24"/>
        </w:rPr>
        <w:t>五、综合性学习（共8分）</w:t>
      </w:r>
    </w:p>
    <w:p>
      <w:pPr>
        <w:ind w:left="360" w:hanging="384" w:hangingChars="1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21.（1）示例：活动一：成语接龙  活动二：飞花令  活动三：课本剧表演（围绕主题，以简练的词语概括即可。3分，每空1分）</w:t>
      </w:r>
    </w:p>
    <w:p>
      <w:pPr>
        <w:ind w:firstLine="384" w:firstLineChars="1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（2）（明确对象，写出语言形式2分，表达效果2分）</w:t>
      </w:r>
    </w:p>
    <w:p>
      <w:pPr>
        <w:ind w:left="315" w:leftChars="150" w:firstLine="512" w:firstLineChars="20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示例一：我选a句。该广告用语简洁明了，直白地告诉人们龙州既有美食又有美景的特点，易于吸引游客。</w:t>
      </w:r>
    </w:p>
    <w:p>
      <w:pPr>
        <w:ind w:left="315" w:leftChars="150" w:firstLine="480" w:firstLineChars="200"/>
        <w:rPr>
          <w:rFonts w:ascii="仿宋_GB2312" w:hAnsi="微软雅黑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微软雅黑" w:eastAsia="仿宋_GB2312"/>
          <w:color w:val="333333"/>
          <w:sz w:val="24"/>
          <w:szCs w:val="24"/>
          <w:shd w:val="clear" w:color="auto" w:fill="FFFFFF"/>
        </w:rPr>
        <w:t>示例二：我选b句。广告语立意新颖，语言生动，画面优美。它抓住消费者追求自然健康的心理，也传达出了厂家注重产品质量的理念。</w:t>
      </w:r>
      <w:r>
        <w:rPr>
          <w:rFonts w:ascii="仿宋_GB2312" w:hAnsi="微软雅黑" w:eastAsia="仿宋_GB2312"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1651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15" w:leftChars="150" w:firstLine="480" w:firstLineChars="200"/>
        <w:rPr>
          <w:rFonts w:ascii="仿宋_GB2312" w:hAnsi="微软雅黑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微软雅黑" w:eastAsia="仿宋_GB2312"/>
          <w:color w:val="333333"/>
          <w:sz w:val="24"/>
          <w:szCs w:val="24"/>
          <w:shd w:val="clear" w:color="auto" w:fill="FFFFFF"/>
        </w:rPr>
        <w:t>我选b句。广告运用了比喻的说法，厂家把自己比作大自然的搬运工，意在告诉人们：厂家生产的矿泉水是纯天然，无污染的。这就抓住了人们追求健康生活的心理。</w:t>
      </w:r>
    </w:p>
    <w:p>
      <w:pPr>
        <w:ind w:left="315" w:leftChars="150" w:firstLine="480" w:firstLineChars="20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hAnsi="微软雅黑" w:eastAsia="仿宋_GB2312"/>
          <w:color w:val="333333"/>
          <w:sz w:val="24"/>
          <w:szCs w:val="24"/>
          <w:shd w:val="clear" w:color="auto" w:fill="FFFFFF"/>
        </w:rPr>
        <w:t>示例三：我选c句，该广告语句式整齐，押韵，读起来朗朗上口，让人明白讲好普通话的重要意义；起到鼓励人们学好普通话的作用。</w:t>
      </w:r>
      <w:bookmarkStart w:id="0" w:name="_GoBack"/>
      <w:bookmarkEnd w:id="0"/>
    </w:p>
    <w:p>
      <w:pPr>
        <w:ind w:firstLine="768" w:firstLineChars="30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示例四：我选d句。该广告语句式整齐，委婉而富有诗意地告诉游客在欣赏美景的同时，注意自己的品行。</w:t>
      </w:r>
    </w:p>
    <w:p>
      <w:pP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（3）天天向上语数英（严格要求下联末字平声）</w:t>
      </w:r>
    </w:p>
    <w:p>
      <w:pPr>
        <w:rPr>
          <w:rFonts w:ascii="仿宋_GB2312" w:hAnsi="仿宋" w:eastAsia="仿宋_GB2312" w:cs="Times New Roman"/>
          <w:b/>
          <w:bCs/>
          <w:kern w:val="21"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kern w:val="21"/>
          <w:sz w:val="24"/>
          <w:szCs w:val="24"/>
        </w:rPr>
        <w:t>六、现代文阅读（二）（共12分）</w:t>
      </w:r>
    </w:p>
    <w:p>
      <w:pP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22.A儿子问蟹   B共享毛蟹    C回味毛蟹 （3分，每空1分）</w:t>
      </w:r>
    </w:p>
    <w:p>
      <w:pPr>
        <w:ind w:left="360" w:hanging="384" w:hangingChars="1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23.“挑逗”一词运用拟人的修辞手法，（1分)生动传神地写出了昏黄油灯下的那一大碗色美、 味更美的毛蟹对孩子们的诱惑。(1分)</w:t>
      </w:r>
    </w:p>
    <w:p>
      <w:pPr>
        <w:ind w:left="360" w:hanging="384" w:hangingChars="1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24.插</w:t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  <w:lang w:val="zh-CN"/>
        </w:rPr>
        <w:drawing>
          <wp:inline distT="0" distB="0" distL="0" distR="0">
            <wp:extent cx="2413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叙（1分），插入叙述儿时捉蟹吃蟹的往事既充实文章内容，（1分）又为下文情感的升华做铺垫。（1分）</w:t>
      </w:r>
    </w:p>
    <w:p>
      <w:pPr>
        <w:ind w:left="360" w:hanging="384" w:hangingChars="1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25.以“一碗入梦”为题，想象奇</w:t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  <w:lang w:val="zh-CN"/>
        </w:rPr>
        <w:drawing>
          <wp:inline distT="0" distB="0" distL="0" distR="0">
            <wp:extent cx="1524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特，能引起读者的兴趣；（1分)标题概括了文章的主要内容；（1分）是文章叙事抒情的线索。（1分）标题中的“梦</w:t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  <w:lang w:val="zh-CN"/>
        </w:rPr>
        <w:drawing>
          <wp:inline distT="0" distB="0" distL="0" distR="0">
            <wp:extent cx="13970" cy="1397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”与文章末尾的“梦”</w:t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  <w:lang w:val="zh-CN"/>
        </w:rPr>
        <w:drawing>
          <wp:inline distT="0" distB="0" distL="0" distR="0">
            <wp:extent cx="1905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相互照应，表达了“我”对童年生活的留恋和对父母深深的思念之情。（1分）</w:t>
      </w:r>
    </w:p>
    <w:p>
      <w:pPr>
        <w:ind w:left="360" w:hanging="361" w:hangingChars="150"/>
        <w:rPr>
          <w:rFonts w:ascii="仿宋_GB2312" w:hAnsi="仿宋" w:eastAsia="仿宋_GB2312" w:cs="Times New Roman"/>
          <w:b/>
          <w:bCs/>
          <w:kern w:val="21"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kern w:val="21"/>
          <w:sz w:val="24"/>
          <w:szCs w:val="24"/>
        </w:rPr>
        <w:t>七、作文（50分）</w:t>
      </w:r>
    </w:p>
    <w:p>
      <w:pPr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26. 评分细则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324"/>
        <w:gridCol w:w="1418"/>
        <w:gridCol w:w="1416"/>
        <w:gridCol w:w="1418"/>
        <w:gridCol w:w="1418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5" w:type="dxa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宋体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24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一类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50～46 分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二类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45～41 分</w:t>
            </w:r>
          </w:p>
        </w:tc>
        <w:tc>
          <w:tcPr>
            <w:tcW w:w="1416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三类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40～35 分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四类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34～30 分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五类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29～20 分</w:t>
            </w:r>
            <w:r>
              <w:rPr>
                <w:rFonts w:hint="eastAsia" w:ascii="仿宋_GB2312" w:hAnsi="Times New Roman" w:eastAsia="仿宋_GB2312" w:cs="Times New Roman"/>
                <w:color w:val="FFFFFF"/>
                <w:kern w:val="0"/>
                <w:sz w:val="4"/>
                <w:szCs w:val="21"/>
              </w:rPr>
              <w:t>[来源:学§科§网]</w:t>
            </w:r>
          </w:p>
        </w:tc>
        <w:tc>
          <w:tcPr>
            <w:tcW w:w="985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六类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19～0分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5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内容（21分）</w:t>
            </w:r>
          </w:p>
        </w:tc>
        <w:tc>
          <w:tcPr>
            <w:tcW w:w="1324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切题，中心突出，内容充实，立意新颖、深刻。 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切题，中心明确，内容充实，立意 正确</w:t>
            </w:r>
          </w:p>
        </w:tc>
        <w:tc>
          <w:tcPr>
            <w:tcW w:w="1416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符合题意，中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心较明确，内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容较充实。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基本符合题意，中心基本明确，内容尚充实。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偏离题意，中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心不明确。</w:t>
            </w:r>
          </w:p>
        </w:tc>
        <w:tc>
          <w:tcPr>
            <w:tcW w:w="985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严重偏离题意。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5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语言（16分）</w:t>
            </w:r>
          </w:p>
        </w:tc>
        <w:tc>
          <w:tcPr>
            <w:tcW w:w="1324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行文流畅，语言生动准确，表达好。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文从字顺，语言比较生动，表达好。</w:t>
            </w:r>
            <w:r>
              <w:rPr>
                <w:rFonts w:hint="eastAsia" w:ascii="仿宋_GB2312" w:hAnsi="Times New Roman" w:eastAsia="仿宋_GB2312" w:cs="Times New Roman"/>
                <w:color w:val="FFFFFF"/>
                <w:kern w:val="0"/>
                <w:sz w:val="4"/>
                <w:szCs w:val="21"/>
              </w:rPr>
              <w:t>[来源:学科网]</w:t>
            </w:r>
          </w:p>
        </w:tc>
        <w:tc>
          <w:tcPr>
            <w:tcW w:w="1416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语言通顺，表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达尚好。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语言基本通顺，有少量语病。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语句不通顺，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语病较多。</w:t>
            </w:r>
          </w:p>
        </w:tc>
        <w:tc>
          <w:tcPr>
            <w:tcW w:w="985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文理不通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195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结构（10分）</w:t>
            </w:r>
          </w:p>
        </w:tc>
        <w:tc>
          <w:tcPr>
            <w:tcW w:w="1324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结构严谨，层次清晰，构新颖、巧妙。 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结构紧凑，层次清楚，构思新颖 </w:t>
            </w:r>
          </w:p>
        </w:tc>
        <w:tc>
          <w:tcPr>
            <w:tcW w:w="1416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结构完整，层次比较清楚。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结构</w:t>
            </w: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drawing>
                <wp:inline distT="0" distB="0" distL="0" distR="0">
                  <wp:extent cx="20320" cy="13970"/>
                  <wp:effectExtent l="0" t="0" r="0" b="0"/>
                  <wp:docPr id="15" name="图片 1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尚完整，层次尚清楚。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结构层次混乱。</w:t>
            </w:r>
          </w:p>
        </w:tc>
        <w:tc>
          <w:tcPr>
            <w:tcW w:w="985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结构不完整，层次混乱。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195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 文面书写（3分）</w:t>
            </w:r>
          </w:p>
        </w:tc>
        <w:tc>
          <w:tcPr>
            <w:tcW w:w="1324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 字体工整、美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观，书写、标点、格式正确，卷面整洁。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 字体端正，书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写、标点、格式正确，卷面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干净。</w:t>
            </w:r>
          </w:p>
        </w:tc>
        <w:tc>
          <w:tcPr>
            <w:tcW w:w="1416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 字迹清楚，书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写、标点、格式基本符合要求，卷面干净。</w:t>
            </w:r>
          </w:p>
        </w:tc>
        <w:tc>
          <w:tcPr>
            <w:tcW w:w="1418" w:type="dxa"/>
          </w:tcPr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 字迹清楚，有少量错别字</w:t>
            </w:r>
          </w:p>
          <w:p>
            <w:pPr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和标点</w:t>
            </w: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drawing>
                <wp:inline distT="0" distB="0" distL="0" distR="0">
                  <wp:extent cx="24130" cy="17780"/>
                  <wp:effectExtent l="0" t="0" r="0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错误，有少量涂改。</w:t>
            </w:r>
          </w:p>
        </w:tc>
        <w:tc>
          <w:tcPr>
            <w:tcW w:w="1418" w:type="dxa"/>
          </w:tcPr>
          <w:p>
            <w:pPr>
              <w:ind w:firstLine="105" w:firstLineChars="50"/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字迹潦草难</w:t>
            </w:r>
          </w:p>
          <w:p>
            <w:pPr>
              <w:ind w:firstLine="105" w:firstLineChars="50"/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辨，错别字和标点错误较多，</w:t>
            </w: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drawing>
                <wp:inline distT="0" distB="0" distL="0" distR="0">
                  <wp:extent cx="17780" cy="19050"/>
                  <wp:effectExtent l="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有较多涂改。 </w:t>
            </w:r>
          </w:p>
        </w:tc>
        <w:tc>
          <w:tcPr>
            <w:tcW w:w="985" w:type="dxa"/>
          </w:tcPr>
          <w:p>
            <w:pPr>
              <w:ind w:firstLine="105" w:firstLineChars="50"/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drawing>
                <wp:inline distT="0" distB="0" distL="0" distR="0">
                  <wp:extent cx="20320" cy="13970"/>
                  <wp:effectExtent l="0" t="0" r="0" b="0"/>
                  <wp:docPr id="12" name="图片 1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>字体不易辨</w:t>
            </w:r>
          </w:p>
          <w:p>
            <w:pPr>
              <w:ind w:firstLine="105" w:firstLineChars="50"/>
              <w:rPr>
                <w:rFonts w:ascii="仿宋_GB2312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</w:rPr>
              <w:t xml:space="preserve">认，错别字和标点错误多，卷面很不整洁。 </w:t>
            </w:r>
          </w:p>
        </w:tc>
      </w:tr>
    </w:tbl>
    <w:p>
      <w:pPr>
        <w:adjustRightInd w:val="0"/>
        <w:snapToGrid w:val="0"/>
        <w:spacing w:before="156" w:beforeLines="50" w:after="156" w:afterLines="5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FFFFFF"/>
          <w:sz w:val="4"/>
          <w:szCs w:val="21"/>
        </w:rPr>
        <w:t>[来源:学科网ZXXK]</w:t>
      </w:r>
    </w:p>
    <w:p>
      <w:pPr>
        <w:adjustRightInd w:val="0"/>
        <w:snapToGrid w:val="0"/>
        <w:spacing w:before="156" w:beforeLines="50" w:after="156" w:afterLines="50"/>
        <w:rPr>
          <w:rFonts w:ascii="仿宋_GB2312" w:eastAsia="仿宋_GB2312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仿宋_GB2312" w:eastAsia="仿宋_GB2312"/>
          <w:color w:val="333333"/>
          <w:spacing w:val="8"/>
          <w:sz w:val="24"/>
          <w:szCs w:val="24"/>
          <w:shd w:val="clear" w:color="auto" w:fill="FFFFFF"/>
        </w:rPr>
        <w:t>补充说明：（1）文中每错 3 个字扣 1 分，重现不计，最多扣 3 分。（2）字数不足600 字者，每少 50 字扣 1 分，最多扣 3 分。（3）文中出现真实的校名、地名、人名，一经查实扣 2 分。（4）半标题或话题作文，没有完整题目的扣 2 分。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A5"/>
    <w:rsid w:val="00041163"/>
    <w:rsid w:val="000A3858"/>
    <w:rsid w:val="000D31FF"/>
    <w:rsid w:val="00106BC6"/>
    <w:rsid w:val="001B0761"/>
    <w:rsid w:val="001C01AB"/>
    <w:rsid w:val="0025293C"/>
    <w:rsid w:val="0029541E"/>
    <w:rsid w:val="002A7AD0"/>
    <w:rsid w:val="0030380C"/>
    <w:rsid w:val="00330146"/>
    <w:rsid w:val="00361DEE"/>
    <w:rsid w:val="003838A5"/>
    <w:rsid w:val="0042323D"/>
    <w:rsid w:val="004407C0"/>
    <w:rsid w:val="00483277"/>
    <w:rsid w:val="004946E4"/>
    <w:rsid w:val="004A1543"/>
    <w:rsid w:val="004D2149"/>
    <w:rsid w:val="004D6E19"/>
    <w:rsid w:val="004F067F"/>
    <w:rsid w:val="0050075D"/>
    <w:rsid w:val="00542D28"/>
    <w:rsid w:val="0058289D"/>
    <w:rsid w:val="005F3EF2"/>
    <w:rsid w:val="0060002A"/>
    <w:rsid w:val="006B2605"/>
    <w:rsid w:val="00732FE4"/>
    <w:rsid w:val="00776DBE"/>
    <w:rsid w:val="007D4816"/>
    <w:rsid w:val="00806B12"/>
    <w:rsid w:val="0089259F"/>
    <w:rsid w:val="008B2F29"/>
    <w:rsid w:val="008E389A"/>
    <w:rsid w:val="008F60B2"/>
    <w:rsid w:val="00947D46"/>
    <w:rsid w:val="00971C00"/>
    <w:rsid w:val="00A11AAE"/>
    <w:rsid w:val="00A32E3B"/>
    <w:rsid w:val="00AA3813"/>
    <w:rsid w:val="00AC1523"/>
    <w:rsid w:val="00AF2FC1"/>
    <w:rsid w:val="00B0433B"/>
    <w:rsid w:val="00B213D5"/>
    <w:rsid w:val="00BB7ADC"/>
    <w:rsid w:val="00C75B74"/>
    <w:rsid w:val="00CA19CE"/>
    <w:rsid w:val="00D54D0A"/>
    <w:rsid w:val="00D84BDF"/>
    <w:rsid w:val="00DD2769"/>
    <w:rsid w:val="00E24B5D"/>
    <w:rsid w:val="00E267BA"/>
    <w:rsid w:val="00E63F2E"/>
    <w:rsid w:val="00F01C93"/>
    <w:rsid w:val="00F2606A"/>
    <w:rsid w:val="00F60D12"/>
    <w:rsid w:val="00FB1CAA"/>
    <w:rsid w:val="00FF032C"/>
    <w:rsid w:val="40FC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1329</Words>
  <Characters>1384</Characters>
  <Lines>138</Lines>
  <Paragraphs>142</Paragraphs>
  <TotalTime>216</TotalTime>
  <ScaleCrop>false</ScaleCrop>
  <LinksUpToDate>false</LinksUpToDate>
  <CharactersWithSpaces>2571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2019-05-28T09:30:00Z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2020-02-18T11:51:17Z</dcterms:modified>
  <dc:subject>七年级语文答案.docx</dc:subject>
  <dc:title>七年级语文答案.docx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