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25pt;margin-top:855pt;margin-left:89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阶段测试(六)　</w:t>
      </w:r>
    </w:p>
    <w:p>
      <w:pPr>
        <w:snapToGrid w:val="0"/>
        <w:spacing w:line="360" w:lineRule="auto"/>
        <w:jc w:val="center"/>
        <w:rPr>
          <w:rFonts w:ascii="微软雅黑" w:eastAsia="微软雅黑" w:hAnsi="微软雅黑"/>
          <w:color w:val="666666"/>
          <w:szCs w:val="21"/>
        </w:rPr>
      </w:pPr>
      <w:r>
        <w:rPr>
          <w:rFonts w:ascii="微软雅黑" w:eastAsia="微软雅黑" w:hAnsi="微软雅黑"/>
          <w:color w:val="666666"/>
          <w:szCs w:val="21"/>
        </w:rPr>
        <w:t>时间:30分钟　满分:50分</w:t>
      </w:r>
    </w:p>
    <w:p>
      <w:pPr>
        <w:snapToGrid w:val="0"/>
        <w:spacing w:line="360" w:lineRule="auto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color w:val="666666"/>
          <w:szCs w:val="21"/>
        </w:rPr>
        <w:drawing>
          <wp:inline distT="0" distB="0" distL="0" distR="0">
            <wp:extent cx="6227445" cy="56515"/>
            <wp:effectExtent l="19050" t="0" r="1350" b="0"/>
            <wp:docPr id="39" name="线.EPS" descr="id:2147490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211454" name="线.EPS" descr="id:21474902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8000" cy="5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微软雅黑" w:hAnsi="宋体"/>
          <w:b/>
          <w:szCs w:val="21"/>
        </w:rPr>
        <w:t>一、选择题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每小题</w:t>
      </w:r>
      <w:r>
        <w:rPr>
          <w:rFonts w:ascii="Times New Roman" w:hAnsi="Times New Roman"/>
          <w:color w:val="666666"/>
          <w:szCs w:val="21"/>
        </w:rPr>
        <w:t>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16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宋体"/>
          <w:szCs w:val="21"/>
        </w:rPr>
        <w:t>践行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绿水青山就是金山银山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理念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建设美丽连云港。下列做法符合该理念的是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过度施肥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回收废弃塑料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就地焚烧秸秆　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任意排放污水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2.2018</w:t>
      </w:r>
      <w:r>
        <w:rPr>
          <w:rFonts w:ascii="Times New Roman" w:hAnsi="宋体"/>
          <w:szCs w:val="21"/>
        </w:rPr>
        <w:t>年世界环境日主题为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塑战速决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。下列做法不符合此主题的是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用布袋代替塑料袋</w:t>
      </w:r>
      <w:r>
        <w:rPr>
          <w:rFonts w:ascii="Times New Roman" w:hAnsi="Times New Roman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就地焚烧塑料垃圾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回收利用废弃塑料</w:t>
      </w:r>
      <w:r>
        <w:rPr>
          <w:rFonts w:ascii="Times New Roman" w:hAnsi="Times New Roman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使用新型可降解塑料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宋体"/>
          <w:szCs w:val="21"/>
        </w:rPr>
        <w:t>在人体所含的元素中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质量分数最高的是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氢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氧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钙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铁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化学与人体健康密切相关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下列说法不科学的是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食用加铁酱油可预防贫血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合理摄入油脂有益身体健康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密闭的房间中可燃煤取暖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家庭装修时应使用环保材料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宋体"/>
          <w:szCs w:val="21"/>
        </w:rPr>
        <w:t>有人认为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氮肥壮叶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磷肥壮果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钾肥壮茎</w:t>
      </w:r>
      <w:r>
        <w:rPr>
          <w:rFonts w:ascii="Times New Roman" w:hAnsi="Times New Roman"/>
          <w:szCs w:val="21"/>
        </w:rPr>
        <w:t>”,</w:t>
      </w:r>
      <w:r>
        <w:rPr>
          <w:rFonts w:ascii="Times New Roman" w:hAnsi="宋体"/>
          <w:szCs w:val="21"/>
        </w:rPr>
        <w:t>小王家的柑橘树结的果实偏小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小王应向柑橘树施加下列化肥中的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硫酸钾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硫酸铵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碳酸氢铵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过磷酸钙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宋体"/>
          <w:szCs w:val="21"/>
        </w:rPr>
        <w:t>材料是时代进步的标志。下列关于材料的说法错误的是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宋体"/>
          <w:szCs w:val="21"/>
        </w:rPr>
        <w:t>塑料属于有机合成高分子材料</w:t>
      </w:r>
      <w:r>
        <w:rPr>
          <w:rFonts w:ascii="Times New Roman" w:hAnsi="Times New Roman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宋体"/>
          <w:szCs w:val="21"/>
        </w:rPr>
        <w:t>玻璃属于硅酸盐材料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宋体"/>
          <w:szCs w:val="21"/>
        </w:rPr>
        <w:t>制造芯片的硅属于非金属材料</w:t>
      </w:r>
      <w:r>
        <w:rPr>
          <w:rFonts w:ascii="Times New Roman" w:hAnsi="Times New Roman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宋体"/>
          <w:szCs w:val="21"/>
        </w:rPr>
        <w:t>铝镁合金属于复合材料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宋体"/>
          <w:szCs w:val="21"/>
        </w:rPr>
        <w:t>化学与人类生活、社会生产密切相关。下列说法不正确的是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常吃海产品、动物肝脏、奶类、豆类、小米等食物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以补充人体必需的锌等微量元素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利用和开发太阳能、风能、核能等新能源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以节约化石燃料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有效减少碳排放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学生在食堂多用自带饭盒打饭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尽量减少使用一次性用品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少叫外卖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以节约资源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保护环境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为使植物的茎叶生长茂盛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提高粮食产量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大量使用尿素</w:t>
      </w:r>
      <w:r>
        <w:rPr>
          <w:rFonts w:ascii="Times New Roman" w:hAnsi="Times New Roman"/>
          <w:szCs w:val="21"/>
        </w:rPr>
        <w:t>[CO(NH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宋体"/>
          <w:szCs w:val="21"/>
        </w:rPr>
        <w:t>等化学肥料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宋体"/>
          <w:szCs w:val="21"/>
        </w:rPr>
        <w:t>下列主题知识的归纳中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完全正确的一组是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tbl>
      <w:tblPr>
        <w:tblStyle w:val="TableNormal"/>
        <w:tblW w:w="10027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3"/>
        <w:gridCol w:w="5014"/>
      </w:tblGrid>
      <w:tr>
        <w:tblPrEx>
          <w:tblW w:w="10027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A.</w:t>
            </w:r>
            <w:r>
              <w:rPr>
                <w:rFonts w:ascii="Times New Roman" w:hAnsi="宋体"/>
                <w:szCs w:val="21"/>
              </w:rPr>
              <w:t>安全常识</w:t>
            </w:r>
          </w:p>
        </w:tc>
        <w:tc>
          <w:tcPr>
            <w:tcW w:w="5014" w:type="dxa"/>
            <w:tcMar>
              <w:left w:w="105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ab/>
            </w:r>
            <w:r>
              <w:rPr>
                <w:rFonts w:ascii="Times New Roman" w:hAnsi="Times New Roman"/>
                <w:szCs w:val="21"/>
              </w:rPr>
              <w:t>B.</w:t>
            </w:r>
            <w:r>
              <w:rPr>
                <w:rFonts w:ascii="Times New Roman" w:hAnsi="宋体"/>
                <w:szCs w:val="21"/>
              </w:rPr>
              <w:t>化学与农业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3" w:type="dxa"/>
            <w:tcMar>
              <w:left w:w="105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①</w:t>
            </w:r>
            <w:r>
              <w:rPr>
                <w:rFonts w:ascii="Times New Roman" w:hAnsi="宋体"/>
                <w:szCs w:val="21"/>
              </w:rPr>
              <w:t>煤气泄漏</w:t>
            </w:r>
            <w:r>
              <w:rPr>
                <w:rFonts w:ascii="Times New Roman" w:hAnsi="Times New Roman"/>
                <w:szCs w:val="21"/>
              </w:rPr>
              <w:t>——</w:t>
            </w:r>
            <w:r>
              <w:rPr>
                <w:rFonts w:ascii="Times New Roman" w:hAnsi="宋体"/>
                <w:szCs w:val="21"/>
              </w:rPr>
              <w:t>先打开排气扇</w:t>
            </w:r>
          </w:p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②</w:t>
            </w:r>
            <w:r>
              <w:rPr>
                <w:rFonts w:ascii="Times New Roman" w:hAnsi="宋体"/>
                <w:szCs w:val="21"/>
              </w:rPr>
              <w:t>误食少量重金属盐</w:t>
            </w:r>
            <w:r>
              <w:rPr>
                <w:rFonts w:ascii="Times New Roman" w:hAnsi="Times New Roman"/>
                <w:szCs w:val="21"/>
              </w:rPr>
              <w:t>——</w:t>
            </w:r>
            <w:r>
              <w:rPr>
                <w:rFonts w:ascii="Times New Roman" w:hAnsi="宋体"/>
                <w:szCs w:val="21"/>
              </w:rPr>
              <w:t>喝鸡蛋清</w:t>
            </w:r>
          </w:p>
        </w:tc>
        <w:tc>
          <w:tcPr>
            <w:tcW w:w="5014" w:type="dxa"/>
            <w:tcMar>
              <w:left w:w="105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①</w:t>
            </w:r>
            <w:r>
              <w:rPr>
                <w:rFonts w:ascii="Times New Roman" w:hAnsi="宋体"/>
                <w:szCs w:val="21"/>
              </w:rPr>
              <w:t>波尔多液</w:t>
            </w:r>
            <w:r>
              <w:rPr>
                <w:rFonts w:ascii="Times New Roman" w:hAnsi="Times New Roman"/>
                <w:szCs w:val="21"/>
              </w:rPr>
              <w:t>——</w:t>
            </w:r>
            <w:r>
              <w:rPr>
                <w:rFonts w:ascii="Times New Roman" w:hAnsi="宋体"/>
                <w:szCs w:val="21"/>
              </w:rPr>
              <w:t>可用于农作物杀菌</w:t>
            </w:r>
          </w:p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②</w:t>
            </w:r>
            <w:r>
              <w:rPr>
                <w:rFonts w:ascii="Times New Roman" w:hAnsi="宋体"/>
                <w:szCs w:val="21"/>
              </w:rPr>
              <w:t>磷肥</w:t>
            </w:r>
            <w:r>
              <w:rPr>
                <w:rFonts w:ascii="Times New Roman" w:hAnsi="Times New Roman"/>
                <w:szCs w:val="21"/>
              </w:rPr>
              <w:t>——</w:t>
            </w:r>
            <w:r>
              <w:rPr>
                <w:rFonts w:ascii="Times New Roman" w:hAnsi="宋体"/>
                <w:szCs w:val="21"/>
              </w:rPr>
              <w:t>使作物枝叶繁茂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叶色浓绿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3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C.</w:t>
            </w:r>
            <w:r>
              <w:rPr>
                <w:rFonts w:ascii="Times New Roman" w:hAnsi="宋体"/>
                <w:szCs w:val="21"/>
              </w:rPr>
              <w:t>辨别真假</w:t>
            </w:r>
          </w:p>
        </w:tc>
        <w:tc>
          <w:tcPr>
            <w:tcW w:w="5014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ab/>
            </w:r>
            <w:r>
              <w:rPr>
                <w:rFonts w:ascii="Times New Roman" w:hAnsi="Times New Roman"/>
                <w:szCs w:val="21"/>
              </w:rPr>
              <w:t>D.</w:t>
            </w:r>
            <w:r>
              <w:rPr>
                <w:rFonts w:ascii="Times New Roman" w:hAnsi="宋体"/>
                <w:szCs w:val="21"/>
              </w:rPr>
              <w:t>性质与用途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3" w:type="dxa"/>
            <w:tcMar>
              <w:left w:w="105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①</w:t>
            </w:r>
            <w:r>
              <w:rPr>
                <w:rFonts w:ascii="Times New Roman" w:hAnsi="宋体"/>
                <w:szCs w:val="21"/>
              </w:rPr>
              <w:t>辨别蛋白质和淀粉</w:t>
            </w:r>
            <w:r>
              <w:rPr>
                <w:rFonts w:ascii="Times New Roman" w:hAnsi="Times New Roman"/>
                <w:szCs w:val="21"/>
              </w:rPr>
              <w:t>——</w:t>
            </w:r>
            <w:r>
              <w:rPr>
                <w:rFonts w:ascii="Times New Roman" w:hAnsi="宋体"/>
                <w:szCs w:val="21"/>
              </w:rPr>
              <w:t>加碘水</w:t>
            </w:r>
          </w:p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②</w:t>
            </w:r>
            <w:r>
              <w:rPr>
                <w:rFonts w:ascii="Times New Roman" w:hAnsi="宋体"/>
                <w:szCs w:val="21"/>
              </w:rPr>
              <w:t>辨别棉织物和毛织物</w:t>
            </w:r>
            <w:r>
              <w:rPr>
                <w:rFonts w:ascii="Times New Roman" w:hAnsi="Times New Roman"/>
                <w:szCs w:val="21"/>
              </w:rPr>
              <w:t>——</w:t>
            </w:r>
            <w:r>
              <w:rPr>
                <w:rFonts w:ascii="Times New Roman" w:hAnsi="宋体"/>
                <w:szCs w:val="21"/>
              </w:rPr>
              <w:t>点燃闻气味</w:t>
            </w:r>
          </w:p>
        </w:tc>
        <w:tc>
          <w:tcPr>
            <w:tcW w:w="5014" w:type="dxa"/>
            <w:tcMar>
              <w:left w:w="105" w:type="dxa"/>
              <w:right w:w="105" w:type="dxa"/>
            </w:tcMar>
            <w:vAlign w:val="center"/>
          </w:tcPr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①</w:t>
            </w:r>
            <w:r>
              <w:rPr>
                <w:rFonts w:ascii="Times New Roman" w:hAnsi="宋体"/>
                <w:szCs w:val="21"/>
              </w:rPr>
              <w:t>氩气性质稳定</w:t>
            </w:r>
            <w:r>
              <w:rPr>
                <w:rFonts w:ascii="Times New Roman" w:hAnsi="Times New Roman"/>
                <w:szCs w:val="21"/>
              </w:rPr>
              <w:t>——</w:t>
            </w:r>
            <w:r>
              <w:rPr>
                <w:rFonts w:ascii="Times New Roman" w:hAnsi="宋体"/>
                <w:szCs w:val="21"/>
              </w:rPr>
              <w:t>延长食品保质期</w:t>
            </w:r>
          </w:p>
          <w:p>
            <w:pPr>
              <w:snapToGrid w:val="0"/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②</w:t>
            </w:r>
            <w:r>
              <w:rPr>
                <w:rFonts w:ascii="Times New Roman" w:hAnsi="宋体"/>
                <w:szCs w:val="21"/>
              </w:rPr>
              <w:t>氢氧化钠显碱性</w:t>
            </w:r>
            <w:r>
              <w:rPr>
                <w:rFonts w:ascii="Times New Roman" w:hAnsi="Times New Roman"/>
                <w:szCs w:val="21"/>
              </w:rPr>
              <w:t>——</w:t>
            </w:r>
            <w:r>
              <w:rPr>
                <w:rFonts w:ascii="Times New Roman" w:hAnsi="宋体"/>
                <w:szCs w:val="21"/>
              </w:rPr>
              <w:t>治疗胃酸过多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微软雅黑" w:hAnsi="宋体"/>
          <w:b/>
          <w:szCs w:val="21"/>
        </w:rPr>
        <w:t>二、填空题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25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9.(4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根据所学化学知识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回答下列问题。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黑龙江盛产优质水稻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其加工得到的大米中含有丰富的淀粉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淀粉的化学式为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。淀粉属于糖类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糖类在人体内经氧化放出能量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和维持恒定体温提供能量。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水稻生长期间需要施加氮肥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氮肥有促进植物茎、叶生长茂盛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提高植物蛋白质含量的作用。尿素是优良的有机氮肥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其化学式是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10.(6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妈妈为小华准备了一份晚餐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有米饭、清蒸鱼、豆腐汤、青椒肉丝、凉拌黄瓜。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上述食物中富含淀粉的是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烹调中使用了加铁酱油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铁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是指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单质</w:t>
      </w:r>
      <w:r>
        <w:rPr>
          <w:rFonts w:ascii="Times New Roman" w:hAnsi="Times New Roman"/>
          <w:szCs w:val="21"/>
        </w:rPr>
        <w:t>”“</w:t>
      </w:r>
      <w:r>
        <w:rPr>
          <w:rFonts w:ascii="Times New Roman" w:hAnsi="宋体"/>
          <w:szCs w:val="21"/>
        </w:rPr>
        <w:t>元素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离子</w:t>
      </w:r>
      <w:r>
        <w:rPr>
          <w:rFonts w:ascii="Times New Roman" w:hAnsi="Times New Roman"/>
          <w:szCs w:val="21"/>
        </w:rPr>
        <w:t>”),</w:t>
      </w:r>
      <w:r>
        <w:rPr>
          <w:rFonts w:ascii="Times New Roman" w:hAnsi="宋体"/>
          <w:szCs w:val="21"/>
        </w:rPr>
        <w:t>酱油中加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铁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是为了防止缺铁引起的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餐桌上的餐具有竹筷、塑料水杯、不锈钢勺子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其中塑料属于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合成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无机非金属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材料。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食物中的淀粉在人体内转化为葡萄糖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葡萄糖发生缓慢氧化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提供能量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反应的化学方程式为</w:t>
      </w:r>
      <w:r>
        <w:rPr>
          <w:rFonts w:ascii="Times New Roman" w:hAnsi="Times New Roman"/>
          <w:szCs w:val="21"/>
        </w:rPr>
        <w:t>R+6O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62" name="图片 1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392380" name="图片 14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6CO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+6H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O,</w:t>
      </w:r>
      <w:r>
        <w:rPr>
          <w:rFonts w:ascii="Times New Roman" w:hAnsi="宋体"/>
          <w:szCs w:val="21"/>
        </w:rPr>
        <w:t>请判断</w:t>
      </w:r>
      <w:r>
        <w:rPr>
          <w:rFonts w:ascii="Times New Roman" w:hAnsi="Times New Roman"/>
          <w:szCs w:val="21"/>
        </w:rPr>
        <w:t>R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小华洗碗时发现铝盆失去了金属光泽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这是由于</w:t>
      </w:r>
      <w:r>
        <w:rPr>
          <w:rFonts w:ascii="Times New Roman" w:hAnsi="宋体"/>
          <w:szCs w:val="21"/>
          <w:u w:val="single" w:color="000000"/>
        </w:rPr>
        <w:t>　　　　　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用化学方程式表示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11.(7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农作物秸秆属于农业生态系统中一种十分宝贵的生物质能资源。农作物秸秆综合利用对于促进农民增收、环境保护、资源节约以及农业经济可持续发展意义重大。秸秆的主要成分是纤维素</w:t>
      </w:r>
      <w:r>
        <w:rPr>
          <w:rFonts w:ascii="Times New Roman" w:hAnsi="Times New Roman"/>
          <w:szCs w:val="21"/>
        </w:rPr>
        <w:t>[(C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10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  <w:vertAlign w:val="subscript"/>
        </w:rPr>
        <w:t>n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宋体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纤维素分子中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宋体"/>
          <w:szCs w:val="21"/>
        </w:rPr>
        <w:t>原子个数比为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发电厂将秸秆粉碎压缩成颗粒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作为燃料用于发电。如果直接在农田中燃烧秸秆的主要危害是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将秸秆还田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可作为农家肥料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但某植物在生长过程中还需要施用复合肥。下列属于复合肥的是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B.CO(NH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PO</w:t>
      </w:r>
      <w:r>
        <w:rPr>
          <w:rFonts w:ascii="Times New Roman" w:hAnsi="Times New Roman"/>
          <w:szCs w:val="21"/>
          <w:vertAlign w:val="subscript"/>
        </w:rPr>
        <w:t>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以秸秆为原料可生产出可降解塑料餐盒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该塑料属于</w:t>
      </w:r>
      <w:r>
        <w:rPr>
          <w:rFonts w:ascii="Times New Roman" w:hAnsi="宋体"/>
          <w:szCs w:val="21"/>
          <w:u w:val="single" w:color="000000"/>
        </w:rPr>
        <w:t>　　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合成有机高分子</w:t>
      </w:r>
      <w:r>
        <w:rPr>
          <w:rFonts w:ascii="Times New Roman" w:hAnsi="Times New Roman"/>
          <w:szCs w:val="21"/>
        </w:rPr>
        <w:t>”“</w:t>
      </w:r>
      <w:r>
        <w:rPr>
          <w:rFonts w:ascii="Times New Roman" w:hAnsi="宋体"/>
          <w:szCs w:val="21"/>
        </w:rPr>
        <w:t>天然有机高分子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合金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材料。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利用秸秆可生产乙醇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加入汽油中制成乙醇汽油。生产过程中涉及如下反应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63" name="图片 1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49966" name="图片 14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2C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/>
          <w:szCs w:val="21"/>
        </w:rPr>
        <w:t>OH+2X↑,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</w:t>
      </w:r>
      <w:r>
        <w:rPr>
          <w:rFonts w:ascii="Times New Roman" w:hAnsi="宋体"/>
          <w:szCs w:val="21"/>
        </w:rPr>
        <w:t>在农村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秸秆曾经作为燃料广泛使用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但秸秆不完全燃烧会产生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气体与血液中的血红蛋白结合引起中毒。随着社会的进步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农村可推广使用下列替代秸秆作燃料的能源为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沼气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天然气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或液化气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太阳能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12.(8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化学与生活密切相关。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下表为某女士一天的营养摄入量与推荐摄入量的比较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</w:t>
      </w:r>
      <w:r>
        <w:rPr>
          <w:rFonts w:ascii="Times New Roman" w:hAnsi="Times New Roman"/>
          <w:szCs w:val="21"/>
        </w:rPr>
        <w:t>):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7"/>
        <w:gridCol w:w="3307"/>
        <w:gridCol w:w="3308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项目</w:t>
            </w:r>
          </w:p>
        </w:tc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摄入量</w:t>
            </w:r>
          </w:p>
        </w:tc>
        <w:tc>
          <w:tcPr>
            <w:tcW w:w="3308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推荐摄入量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蛋白质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72.9</w:t>
            </w:r>
          </w:p>
        </w:tc>
        <w:tc>
          <w:tcPr>
            <w:tcW w:w="3308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65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脂肪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65.1</w:t>
            </w:r>
          </w:p>
        </w:tc>
        <w:tc>
          <w:tcPr>
            <w:tcW w:w="3308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48.2~72.3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维生素</w:t>
            </w:r>
            <w:r>
              <w:rPr>
                <w:rFonts w:ascii="Times New Roman" w:hAnsi="Times New Roman"/>
                <w:szCs w:val="21"/>
              </w:rPr>
              <w:t>C/mg</w:t>
            </w:r>
          </w:p>
        </w:tc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176</w:t>
            </w:r>
          </w:p>
        </w:tc>
        <w:tc>
          <w:tcPr>
            <w:tcW w:w="3308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钙</w:t>
            </w:r>
            <w:r>
              <w:rPr>
                <w:rFonts w:ascii="Times New Roman" w:hAnsi="Times New Roman"/>
                <w:szCs w:val="21"/>
              </w:rPr>
              <w:t>/mg</w:t>
            </w:r>
          </w:p>
        </w:tc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807</w:t>
            </w:r>
          </w:p>
        </w:tc>
        <w:tc>
          <w:tcPr>
            <w:tcW w:w="3308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800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铁</w:t>
            </w:r>
            <w:r>
              <w:rPr>
                <w:rFonts w:ascii="Times New Roman" w:hAnsi="Times New Roman"/>
                <w:szCs w:val="21"/>
              </w:rPr>
              <w:t>/mg</w:t>
            </w:r>
          </w:p>
        </w:tc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21</w:t>
            </w:r>
          </w:p>
        </w:tc>
        <w:tc>
          <w:tcPr>
            <w:tcW w:w="3308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硒</w:t>
            </w:r>
            <w:r>
              <w:rPr>
                <w:rFonts w:ascii="Times New Roman" w:hAnsi="Times New Roman"/>
                <w:szCs w:val="21"/>
              </w:rPr>
              <w:t>/mg</w:t>
            </w:r>
          </w:p>
        </w:tc>
        <w:tc>
          <w:tcPr>
            <w:tcW w:w="3307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0.037</w:t>
            </w:r>
          </w:p>
        </w:tc>
        <w:tc>
          <w:tcPr>
            <w:tcW w:w="3308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0.05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蛋白质、油脂和葡萄糖中属于高分子化合物的是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钙、铁、硒三种元素中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填元素名称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下同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在人体内含量最高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易得贫血症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该女士摄入的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没有达到推荐摄入量。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制造汽车使用了镁铝合金、玻璃钢、聚氯乙烯等材料。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02155" cy="752475"/>
            <wp:effectExtent l="0" t="0" r="0" b="0"/>
            <wp:docPr id="1464" name="CSJ19.eps" descr="id:21474912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84505" name="CSJ19.eps" descr="id:21474912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2680" cy="75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J6-1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上述材料中属于金属材料的是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属于合成材料的是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属于复合材料的是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将镁铝合金与铝片相互刻划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在铝片表面留下明显划痕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说明镁铝合金的硬度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大于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小于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铝的硬度。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微软雅黑" w:eastAsia="微软雅黑" w:hAnsi="微软雅黑"/>
          <w:b/>
          <w:szCs w:val="21"/>
        </w:rPr>
        <w:t>三、计算题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9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宋体"/>
          <w:szCs w:val="21"/>
        </w:rPr>
        <w:t>小明为判断家中的</w:t>
      </w:r>
      <w:r>
        <w:rPr>
          <w:rFonts w:ascii="Times New Roman" w:hAnsi="Times New Roman"/>
          <w:szCs w:val="21"/>
        </w:rPr>
        <w:t>9°</w:t>
      </w:r>
      <w:r>
        <w:rPr>
          <w:rFonts w:ascii="Times New Roman" w:hAnsi="宋体"/>
          <w:szCs w:val="21"/>
        </w:rPr>
        <w:t>米醋含酸量是否合格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拟配制一定质量分数的氢氧化钠溶液进行测定。产品部分信息如图</w:t>
      </w:r>
      <w:r>
        <w:rPr>
          <w:rFonts w:ascii="Times New Roman" w:hAnsi="Times New Roman"/>
          <w:szCs w:val="21"/>
        </w:rPr>
        <w:t>J6-2</w:t>
      </w:r>
      <w:r>
        <w:rPr>
          <w:rFonts w:ascii="Times New Roman" w:hAnsi="宋体"/>
          <w:szCs w:val="21"/>
        </w:rPr>
        <w:t>所示。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产品名称</w:t>
      </w:r>
      <w:r>
        <w:rPr>
          <w:rFonts w:ascii="Times New Roman" w:hAnsi="Times New Roman"/>
          <w:szCs w:val="21"/>
        </w:rPr>
        <w:t>:9°</w:t>
      </w:r>
      <w:r>
        <w:rPr>
          <w:rFonts w:ascii="Times New Roman" w:hAnsi="宋体"/>
          <w:szCs w:val="21"/>
        </w:rPr>
        <w:t>米醋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规格</w:t>
      </w:r>
      <w:r>
        <w:rPr>
          <w:rFonts w:ascii="Times New Roman" w:hAnsi="Times New Roman"/>
          <w:szCs w:val="21"/>
        </w:rPr>
        <w:t>:420 mL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总酸含量</w:t>
      </w:r>
      <w:r>
        <w:rPr>
          <w:rFonts w:ascii="Times New Roman" w:hAnsi="Times New Roman"/>
          <w:szCs w:val="21"/>
        </w:rPr>
        <w:t>:≥9.00 g/100 mL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保质期</w:t>
      </w:r>
      <w:r>
        <w:rPr>
          <w:rFonts w:ascii="Times New Roman" w:hAnsi="Times New Roman"/>
          <w:szCs w:val="21"/>
        </w:rPr>
        <w:t>:36</w:t>
      </w:r>
      <w:r>
        <w:rPr>
          <w:rFonts w:ascii="Times New Roman" w:hAnsi="宋体"/>
          <w:szCs w:val="21"/>
        </w:rPr>
        <w:t>个月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生产日期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见瓶底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J6-2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配制</w:t>
      </w:r>
      <w:r>
        <w:rPr>
          <w:rFonts w:ascii="Times New Roman" w:hAnsi="Times New Roman"/>
          <w:szCs w:val="21"/>
        </w:rPr>
        <w:t>100 g</w:t>
      </w:r>
      <w:r>
        <w:rPr>
          <w:rFonts w:ascii="Times New Roman" w:hAnsi="宋体"/>
          <w:szCs w:val="21"/>
        </w:rPr>
        <w:t>质量分数为</w:t>
      </w:r>
      <w:r>
        <w:rPr>
          <w:rFonts w:ascii="Times New Roman" w:hAnsi="Times New Roman"/>
          <w:szCs w:val="21"/>
        </w:rPr>
        <w:t>4%</w:t>
      </w:r>
      <w:r>
        <w:rPr>
          <w:rFonts w:ascii="Times New Roman" w:hAnsi="宋体"/>
          <w:szCs w:val="21"/>
        </w:rPr>
        <w:t>的氢氧化钠溶液需要水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mL(</w:t>
      </w:r>
      <w:r>
        <w:rPr>
          <w:rFonts w:ascii="Times New Roman" w:hAnsi="宋体"/>
          <w:szCs w:val="21"/>
        </w:rPr>
        <w:t>水的密度为</w:t>
      </w:r>
      <w:r>
        <w:rPr>
          <w:rFonts w:ascii="Times New Roman" w:hAnsi="Times New Roman"/>
          <w:szCs w:val="21"/>
        </w:rPr>
        <w:t>1 g/cm</w:t>
      </w:r>
      <w:r>
        <w:rPr>
          <w:rFonts w:ascii="Times New Roman" w:hAnsi="Times New Roman"/>
          <w:szCs w:val="21"/>
          <w:vertAlign w:val="super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9°</w:t>
      </w:r>
      <w:r>
        <w:rPr>
          <w:rFonts w:ascii="Times New Roman" w:hAnsi="宋体"/>
          <w:szCs w:val="21"/>
        </w:rPr>
        <w:t>米醋中的酸均看成醋酸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醋酸与氢氧化钠反应的化学方程式为</w:t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COOH+NaOH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465" name="图片 1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73792" name="图片 14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COONa+H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O,</w:t>
      </w:r>
      <w:r>
        <w:rPr>
          <w:rFonts w:ascii="Times New Roman" w:hAnsi="宋体"/>
          <w:szCs w:val="21"/>
        </w:rPr>
        <w:t>小明取</w:t>
      </w:r>
      <w:r>
        <w:rPr>
          <w:rFonts w:ascii="Times New Roman" w:hAnsi="Times New Roman"/>
          <w:szCs w:val="21"/>
        </w:rPr>
        <w:t>10 mL 9°</w:t>
      </w:r>
      <w:r>
        <w:rPr>
          <w:rFonts w:ascii="Times New Roman" w:hAnsi="宋体"/>
          <w:szCs w:val="21"/>
        </w:rPr>
        <w:t>米醋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加入</w:t>
      </w:r>
      <w:r>
        <w:rPr>
          <w:rFonts w:ascii="Times New Roman" w:hAnsi="Times New Roman"/>
          <w:szCs w:val="21"/>
        </w:rPr>
        <w:t>4%</w:t>
      </w:r>
      <w:r>
        <w:rPr>
          <w:rFonts w:ascii="Times New Roman" w:hAnsi="宋体"/>
          <w:szCs w:val="21"/>
        </w:rPr>
        <w:t>的氢氧化钠溶液</w:t>
      </w:r>
      <w:r>
        <w:rPr>
          <w:rFonts w:ascii="Times New Roman" w:hAnsi="Times New Roman"/>
          <w:szCs w:val="21"/>
        </w:rPr>
        <w:t>12 g,</w:t>
      </w:r>
      <w:r>
        <w:rPr>
          <w:rFonts w:ascii="Times New Roman" w:hAnsi="宋体"/>
          <w:szCs w:val="21"/>
        </w:rPr>
        <w:t>恰好完全反应。请通过计算判断该产品含酸量是否合格。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写出计算过程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widowControl/>
        <w:jc w:val="center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1.B　2.B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3.B　[解析]人体中含量最多的物质是水,水中氧元素和氢元素的质量比是8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/>
          <w:szCs w:val="21"/>
        </w:rPr>
        <w:t>1,所以在人体所含的元素中,质量分数最高的是氧元素。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4.C　[解析]加铁酱油给人体补充了铁元素,可以预防缺铁性贫血;油脂是重要的供能物质,因此适量摄入油脂对人体健康有益;密闭的房间中燃煤取暖,会因燃烧不完全产生有毒气体一氧化碳,容易使人中毒死亡;劣质装修材料中含有对人体有害的物质,因此应使用环保材料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5.D　[解析]柑橘树结的果实偏小,应向柑橘树施加磷肥。硫酸钾中含有钾元素,属于钾肥;硫酸铵、碳酸氢铵中含有氮元素,属于氮肥;过磷酸钙中含有磷元素,属于磷肥。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6.D　[解析] 塑料属于有机合成高分子材料;玻璃属于硅酸盐材料;制造芯片的硅属于非金属材料;铝镁合金属于金属材料。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7.D　8.C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9.(1)(C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10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  <w:vertAlign w:val="subscript"/>
        </w:rPr>
        <w:t>n</w:t>
      </w:r>
      <w:r>
        <w:rPr>
          <w:rFonts w:ascii="Times New Roman" w:hAnsi="Times New Roman"/>
          <w:szCs w:val="21"/>
        </w:rPr>
        <w:t>　肌体活动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(2)叶色浓绿　CO(NH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10.(1)米饭　(2)元素　贫血　(3)合成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(4)C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　(5)4Al+3O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74" name="图片 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832526" name="图片 5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2Al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11.(1)6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/>
          <w:szCs w:val="21"/>
        </w:rPr>
        <w:t>10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/>
          <w:szCs w:val="21"/>
        </w:rPr>
        <w:t>5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(2)污染空气(或污染环境等合理答案均可)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(3)AD　(4)合成有机高分子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　(6)CO　ABC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12.(1)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蛋白质　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钙　铁　硒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镁铝合金　聚氯乙烯　玻璃钢　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大于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13.(1)96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(2)解:参加反应的氢氧化钠的质量为12 g×4%=0.48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设10 mL 9°米醋中醋酸的质量为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COOH+NaOH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75" name="图片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863384" name="图片 5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COONa+H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40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0.48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60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40</m:t>
            </m: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48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=0.72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100 mL样品中含醋酸的质量为0.72 g×10=7.2 g,因为7.2 g&lt;9.00 g,所以该产品含酸量不合格。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答:该产品含酸量不合格。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</w:t>
      </w:r>
    </w:p>
    <w:sectPr>
      <w:headerReference w:type="even" r:id="rId11"/>
      <w:headerReference w:type="first" r:id="rId12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E37A2"/>
    <w:rsid w:val="000F21D4"/>
    <w:rsid w:val="000F3CA7"/>
    <w:rsid w:val="00101D6C"/>
    <w:rsid w:val="00105A66"/>
    <w:rsid w:val="0011190C"/>
    <w:rsid w:val="00111A81"/>
    <w:rsid w:val="00121876"/>
    <w:rsid w:val="001238BE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B6A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07E3B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0EFE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7259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5CA3"/>
    <w:rsid w:val="002C6014"/>
    <w:rsid w:val="002C6E25"/>
    <w:rsid w:val="002D3A0C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97365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2799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2D27"/>
    <w:rsid w:val="004A441B"/>
    <w:rsid w:val="004A58F4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0F55"/>
    <w:rsid w:val="007156CA"/>
    <w:rsid w:val="00716569"/>
    <w:rsid w:val="0071780A"/>
    <w:rsid w:val="00717D95"/>
    <w:rsid w:val="007202E8"/>
    <w:rsid w:val="007252D3"/>
    <w:rsid w:val="00731129"/>
    <w:rsid w:val="00733344"/>
    <w:rsid w:val="0073508E"/>
    <w:rsid w:val="0073524E"/>
    <w:rsid w:val="00735CBF"/>
    <w:rsid w:val="00736D10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45E4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2C25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07BE"/>
    <w:rsid w:val="00841FAF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3835"/>
    <w:rsid w:val="00904FE3"/>
    <w:rsid w:val="00911317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07D4"/>
    <w:rsid w:val="00A6109A"/>
    <w:rsid w:val="00A61448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E05"/>
    <w:rsid w:val="00AA37F7"/>
    <w:rsid w:val="00AA486E"/>
    <w:rsid w:val="00AA7345"/>
    <w:rsid w:val="00AA78E3"/>
    <w:rsid w:val="00AB0B53"/>
    <w:rsid w:val="00AB228C"/>
    <w:rsid w:val="00AB31DD"/>
    <w:rsid w:val="00AB3310"/>
    <w:rsid w:val="00AB429E"/>
    <w:rsid w:val="00AB6A3B"/>
    <w:rsid w:val="00AB6C12"/>
    <w:rsid w:val="00AC0814"/>
    <w:rsid w:val="00AC291A"/>
    <w:rsid w:val="00AC3BE9"/>
    <w:rsid w:val="00AC467D"/>
    <w:rsid w:val="00AC48CA"/>
    <w:rsid w:val="00AC723D"/>
    <w:rsid w:val="00AD0290"/>
    <w:rsid w:val="00AD3678"/>
    <w:rsid w:val="00AD3B32"/>
    <w:rsid w:val="00AD499F"/>
    <w:rsid w:val="00AD5BC4"/>
    <w:rsid w:val="00AD61BA"/>
    <w:rsid w:val="00AD72D7"/>
    <w:rsid w:val="00AE4039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387E"/>
    <w:rsid w:val="00B145BA"/>
    <w:rsid w:val="00B15CE3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3411B"/>
    <w:rsid w:val="00B4160F"/>
    <w:rsid w:val="00B43B99"/>
    <w:rsid w:val="00B43C3D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1CD6"/>
    <w:rsid w:val="00B72429"/>
    <w:rsid w:val="00B74727"/>
    <w:rsid w:val="00B755DC"/>
    <w:rsid w:val="00B76910"/>
    <w:rsid w:val="00B7749F"/>
    <w:rsid w:val="00B80A91"/>
    <w:rsid w:val="00B80DEF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52AF"/>
    <w:rsid w:val="00C97460"/>
    <w:rsid w:val="00CA156D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19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E6696"/>
    <w:rsid w:val="00CF11E6"/>
    <w:rsid w:val="00CF6162"/>
    <w:rsid w:val="00CF6624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4F85"/>
    <w:rsid w:val="00DC6D9C"/>
    <w:rsid w:val="00DD1ECC"/>
    <w:rsid w:val="00DD4F6F"/>
    <w:rsid w:val="00DD68D1"/>
    <w:rsid w:val="00DD6ABD"/>
    <w:rsid w:val="00DD7AC7"/>
    <w:rsid w:val="00DE0168"/>
    <w:rsid w:val="00DE214D"/>
    <w:rsid w:val="00DE3E72"/>
    <w:rsid w:val="00DE4A82"/>
    <w:rsid w:val="00DE62A8"/>
    <w:rsid w:val="00DE7623"/>
    <w:rsid w:val="00DF10A7"/>
    <w:rsid w:val="00DF21BC"/>
    <w:rsid w:val="00DF345F"/>
    <w:rsid w:val="00DF38FA"/>
    <w:rsid w:val="00DF45DF"/>
    <w:rsid w:val="00DF49AC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1894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5F82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1571995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napToGrid w:val="0"/>
      <w:spacing w:line="276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line="360" w:lineRule="auto"/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7"/>
    <w:uiPriority w:val="29"/>
    <w:qFormat/>
    <w:pPr>
      <w:widowControl/>
      <w:spacing w:line="318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7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10">
    <w:name w:val="脚注文本 Char1"/>
    <w:basedOn w:val="DefaultParagraphFont"/>
    <w:uiPriority w:val="99"/>
    <w:semiHidden/>
    <w:qFormat/>
    <w:rPr>
      <w:rFonts w:ascii="NEU-BZ-S92" w:eastAsia="方正书宋_GBK"/>
      <w:color w:val="000000"/>
      <w:sz w:val="18"/>
      <w:szCs w:val="18"/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7F7F7F" w:themeColor="text1" w:themeTint="7F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2539</Words>
  <Characters>3012</Characters>
  <Application>Microsoft Office Word</Application>
  <DocSecurity>0</DocSecurity>
  <Lines>24</Lines>
  <Paragraphs>6</Paragraphs>
  <ScaleCrop>false</ScaleCrop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8</cp:revision>
  <cp:lastPrinted>2016-09-05T09:15:00Z</cp:lastPrinted>
  <dcterms:created xsi:type="dcterms:W3CDTF">2019-11-20T06:28:00Z</dcterms:created>
  <dcterms:modified xsi:type="dcterms:W3CDTF">2020-02-11T00:31:46Z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