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ackground w:color="ffffff">
    <v:background id="_x0000_s1025" filled="t"/>
  </w:background>
  <w:body>
    <w:p>
      <w:pPr>
        <w:wordWrap/>
        <w:spacing w:beforeAutospacing="0" w:afterAutospacing="0" w:line="360" w:lineRule="auto"/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11010900</wp:posOffset>
            </wp:positionH>
            <wp:positionV relativeFrom="topMargin">
              <wp:posOffset>10706100</wp:posOffset>
            </wp:positionV>
            <wp:extent cx="330200" cy="304800"/>
            <wp:wrapNone/>
            <wp:docPr id="10002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55568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969000" cy="8579485"/>
            <wp:effectExtent l="0" t="0" r="12700" b="1206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911163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7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735060"/>
            <wp:effectExtent l="0" t="0" r="1270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345436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3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849360"/>
            <wp:effectExtent l="0" t="0" r="1270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15055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4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</w:pPr>
      <w:r>
        <w:drawing>
          <wp:inline distT="0" distB="0" distL="114300" distR="114300">
            <wp:extent cx="5969000" cy="8587740"/>
            <wp:effectExtent l="0" t="0" r="1270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798069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8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</w:pPr>
      <w:r>
        <w:drawing>
          <wp:inline distT="0" distB="0" distL="114300" distR="114300">
            <wp:extent cx="5969000" cy="8281035"/>
            <wp:effectExtent l="0" t="0" r="1270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248026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8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</w:pPr>
      <w:r>
        <w:drawing>
          <wp:inline distT="0" distB="0" distL="114300" distR="114300">
            <wp:extent cx="5969000" cy="8557260"/>
            <wp:effectExtent l="0" t="0" r="12700" b="152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322229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5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after="156" w:afterLines="50" w:line="700" w:lineRule="exact"/>
        <w:jc w:val="center"/>
        <w:rPr>
          <w:rFonts w:ascii="黑体" w:eastAsia="黑体" w:hAnsi="黑体"/>
          <w:b/>
          <w:spacing w:val="28"/>
          <w:sz w:val="32"/>
          <w:szCs w:val="32"/>
        </w:rPr>
      </w:pPr>
      <w:r>
        <w:rPr>
          <w:rFonts w:ascii="黑体" w:eastAsia="黑体" w:hAnsi="黑体" w:hint="eastAsia"/>
          <w:b/>
          <w:spacing w:val="28"/>
          <w:sz w:val="32"/>
          <w:szCs w:val="32"/>
        </w:rPr>
        <w:t>九年级语文试题参考答案及评分标准</w:t>
      </w:r>
    </w:p>
    <w:p>
      <w:pPr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一、基础积累（10分）</w:t>
      </w:r>
    </w:p>
    <w:p>
      <w:pPr>
        <w:ind w:firstLine="420" w:firstLineChars="200"/>
        <w:rPr>
          <w:rFonts w:ascii="宋体" w:hAnsi="宋体"/>
        </w:rPr>
      </w:pPr>
      <w:r>
        <w:rPr>
          <w:rFonts w:ascii="宋体" w:hAnsi="宋体" w:hint="eastAsia"/>
        </w:rPr>
        <w:t>1.B 2.D 3.C 4.C 5.B。（每题2分）</w:t>
      </w:r>
    </w:p>
    <w:p>
      <w:pPr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二、古诗文积累与阅读（20分）</w:t>
      </w:r>
    </w:p>
    <w:p>
      <w:pPr>
        <w:ind w:firstLine="426"/>
        <w:rPr>
          <w:rFonts w:ascii="宋体" w:hAnsi="宋体" w:hint="eastAsia"/>
        </w:rPr>
      </w:pPr>
      <w:r>
        <w:rPr>
          <w:rFonts w:ascii="宋体" w:hAnsi="宋体" w:hint="eastAsia"/>
        </w:rPr>
        <w:t>6.A．（2分）7.B. （2分）8.（1）因此人们大多肯将书借给我，我因而能够看各种各样的书（2分）。（2）空闲的时候，她又抄录唐宋人的诗（每句2分，</w:t>
      </w:r>
      <w:r>
        <w:rPr>
          <w:rFonts w:ascii="宋体" w:hAnsi="宋体"/>
        </w:rPr>
        <w:t>句意通顺，重点词语翻译准确：以是、假；暇、更。</w:t>
      </w:r>
      <w:r>
        <w:rPr>
          <w:rFonts w:ascii="宋体" w:hAnsi="宋体" w:hint="eastAsia"/>
        </w:rPr>
        <w:t>）。9.两人都很勤奋好学（1分），宋濂是自求上进（1分），而蒋士铨则是在母亲的教导和督促下勤奋读书的（1分）。</w:t>
      </w:r>
    </w:p>
    <w:p>
      <w:pPr>
        <w:ind w:firstLine="426"/>
        <w:rPr>
          <w:rFonts w:ascii="宋体" w:hAnsi="宋体" w:hint="eastAsia"/>
        </w:rPr>
      </w:pPr>
      <w:r>
        <w:rPr>
          <w:rFonts w:ascii="宋体" w:hAnsi="宋体" w:hint="eastAsia"/>
        </w:rPr>
        <w:t xml:space="preserve">10. 首联描写了秋风秋雨傍晚时分才停下来，在暮霭沉沉的天际，雁群自北向南急急飞过的画面（1分），渲染了凄清、阴冷、孤独的氛围（1分）。11. 示例①寓情于景，情景交融（1分）。空园孤壁，静寂凄清，抒写了作者长期客居他乡的孤独与凄苦（1分）。示例②衬托：以滴露之声，从反面衬托夜阑人静（1分），从而突出诗人孤寂之感（1分）；（示例3：与“孤壁”“野僧”为邻，从正面衬托孤单飘零之感。）  </w:t>
      </w:r>
    </w:p>
    <w:p>
      <w:pPr>
        <w:ind w:firstLine="426"/>
        <w:rPr>
          <w:rFonts w:hint="eastAsia"/>
        </w:rPr>
      </w:pPr>
      <w:r>
        <w:rPr>
          <w:rFonts w:ascii="宋体" w:hAnsi="宋体" w:hint="eastAsia"/>
        </w:rPr>
        <w:t>12.（1）静影沉璧。（2）鸡声茅店月。（3）梦回吹角连营。（4）泪落沾我衣。（5）瀚海阑干百丈冰。</w:t>
      </w:r>
      <w:r>
        <w:rPr>
          <w:rFonts w:hint="eastAsia"/>
        </w:rPr>
        <w:t>（每空1分，错字添字漏字，书写不规范、笔画粘连、看不清者，均不得分，共5分。）</w:t>
      </w:r>
    </w:p>
    <w:p>
      <w:pPr>
        <w:rPr>
          <w:rFonts w:ascii="黑体" w:eastAsia="黑体" w:hAnsi="黑体" w:hint="eastAsia"/>
          <w:szCs w:val="21"/>
        </w:rPr>
      </w:pPr>
      <w:r>
        <w:rPr>
          <w:rFonts w:ascii="黑体" w:eastAsia="黑体" w:hAnsi="黑体" w:hint="eastAsia"/>
          <w:szCs w:val="21"/>
        </w:rPr>
        <w:t>三、语言运用（5分）</w:t>
      </w:r>
    </w:p>
    <w:p>
      <w:pPr>
        <w:ind w:firstLine="426"/>
        <w:rPr>
          <w:rFonts w:hint="eastAsia"/>
        </w:rPr>
      </w:pPr>
      <w:r>
        <w:rPr>
          <w:rFonts w:ascii="宋体" w:hAnsi="宋体" w:hint="eastAsia"/>
          <w:szCs w:val="21"/>
        </w:rPr>
        <w:t>13.示例：这里是花儿的海洋，这里是诗的天地。因为有花儿，诗歌如此绚烂；因为有诗，花儿如此美丽。在品读中，感受花儿的美丽，体验诗的绚烂。（扣题、整齐、优美各1分，共3分）14.内容：应写明截稿日期（1分）。形式：去掉“此致、敬礼”（1分）</w:t>
      </w:r>
    </w:p>
    <w:p>
      <w:pPr>
        <w:rPr>
          <w:rFonts w:ascii="宋体" w:cs="宋体" w:hint="eastAsia"/>
        </w:rPr>
      </w:pPr>
      <w:r>
        <w:rPr>
          <w:rFonts w:ascii="黑体" w:eastAsia="黑体" w:hAnsi="黑体" w:hint="eastAsia"/>
          <w:szCs w:val="21"/>
        </w:rPr>
        <w:t>四、现代文阅读（25分）</w:t>
      </w:r>
    </w:p>
    <w:p>
      <w:pPr>
        <w:ind w:firstLine="420"/>
        <w:rPr>
          <w:rFonts w:ascii="宋体" w:hAnsi="宋体" w:hint="eastAsia"/>
        </w:rPr>
      </w:pPr>
      <w:r>
        <w:rPr>
          <w:rFonts w:ascii="宋体" w:hAnsi="宋体" w:hint="eastAsia"/>
        </w:rPr>
        <w:t>（一）15.①要重视对情绪的调控能力，主动去学习和提升这种能力，不能放任情绪波动；②要不断强化人生信念和内心力量，用积极的心态</w:t>
      </w:r>
      <w:r>
        <w:rPr>
          <w:rFonts w:ascii="宋体" w:hAnsi="宋体"/>
        </w:rPr>
        <w:t>战胜负面</w:t>
      </w:r>
      <w:r>
        <w:rPr>
          <w:rFonts w:ascii="宋体" w:hAnsi="宋体" w:hint="eastAsia"/>
        </w:rPr>
        <w:t>情绪</w:t>
      </w:r>
      <w:r>
        <w:rPr>
          <w:rFonts w:ascii="宋体" w:hAnsi="宋体"/>
        </w:rPr>
        <w:t>。</w:t>
      </w:r>
      <w:r>
        <w:rPr>
          <w:rFonts w:ascii="宋体" w:hAnsi="宋体" w:hint="eastAsia"/>
        </w:rPr>
        <w:t>(4分，每点2分，意思对即可。) 16.对比论证(1分)，把善于管理情绪者和不善于管理情绪者的日常工作状态进行对比(1分)，论证了只有情绪管理得当，才能获得幸福的生活。(1分) 17.文章首先用爱迪生的话引出情绪管理的话题(1分)；然后从正反两方面论述了情绪管理的重要性(1分)，接着提出了不能放任</w:t>
      </w:r>
      <w:r>
        <w:rPr>
          <w:rFonts w:ascii="宋体" w:hAnsi="宋体"/>
        </w:rPr>
        <w:t>情绪波动，</w:t>
      </w:r>
      <w:r>
        <w:rPr>
          <w:rFonts w:ascii="宋体" w:hAnsi="宋体" w:hint="eastAsia"/>
        </w:rPr>
        <w:t>要主动学习和</w:t>
      </w:r>
      <w:r>
        <w:rPr>
          <w:rFonts w:ascii="宋体" w:hAnsi="宋体"/>
        </w:rPr>
        <w:t>提升</w:t>
      </w:r>
      <w:r>
        <w:rPr>
          <w:rFonts w:ascii="宋体" w:hAnsi="宋体" w:hint="eastAsia"/>
        </w:rPr>
        <w:t>情绪管理</w:t>
      </w:r>
      <w:r>
        <w:rPr>
          <w:rFonts w:ascii="宋体" w:hAnsi="宋体"/>
        </w:rPr>
        <w:t>能力</w:t>
      </w:r>
      <w:r>
        <w:rPr>
          <w:rFonts w:ascii="宋体" w:hAnsi="宋体" w:hint="eastAsia"/>
        </w:rPr>
        <w:t>；要不断强化人生信念和内心力量，用积极的心态</w:t>
      </w:r>
      <w:r>
        <w:rPr>
          <w:rFonts w:ascii="宋体" w:hAnsi="宋体"/>
        </w:rPr>
        <w:t>战胜负面</w:t>
      </w:r>
      <w:r>
        <w:rPr>
          <w:rFonts w:ascii="宋体" w:hAnsi="宋体" w:hint="eastAsia"/>
        </w:rPr>
        <w:t>情绪</w:t>
      </w:r>
      <w:r>
        <w:rPr>
          <w:rFonts w:ascii="宋体" w:hAnsi="宋体"/>
        </w:rPr>
        <w:t>。</w:t>
      </w:r>
      <w:r>
        <w:rPr>
          <w:rFonts w:ascii="宋体" w:hAnsi="宋体" w:hint="eastAsia"/>
        </w:rPr>
        <w:t>(1分)；最后总结——情绪管理是一种能力，值得每一个现代人关注和学习。(1分)</w:t>
      </w:r>
    </w:p>
    <w:p>
      <w:pPr>
        <w:ind w:firstLine="420"/>
        <w:rPr>
          <w:rFonts w:ascii="宋体" w:hAnsi="宋体" w:hint="eastAsia"/>
        </w:rPr>
      </w:pPr>
      <w:r>
        <w:rPr>
          <w:rFonts w:ascii="宋体" w:hAnsi="宋体" w:hint="eastAsia"/>
        </w:rPr>
        <w:t>（二）</w:t>
      </w:r>
      <w:r>
        <w:rPr>
          <w:rFonts w:ascii="宋体" w:hAnsi="宋体"/>
        </w:rPr>
        <w:t>18.</w:t>
      </w:r>
      <w:r>
        <w:rPr>
          <w:rFonts w:ascii="宋体" w:hAnsi="宋体" w:hint="eastAsia"/>
        </w:rPr>
        <w:t>①老耿头自斟自酌两小时，喝光了“高粱酒”</w:t>
      </w:r>
      <w:r>
        <w:rPr>
          <w:rFonts w:ascii="宋体" w:hAnsi="宋体"/>
        </w:rPr>
        <w:t xml:space="preserve">   </w:t>
      </w:r>
      <w:r>
        <w:rPr>
          <w:rFonts w:ascii="宋体" w:hAnsi="宋体" w:hint="eastAsia"/>
        </w:rPr>
        <w:t>②店主确认老耿头没有喝酒后，被感动，想起了自己的父亲。</w:t>
      </w:r>
      <w:r>
        <w:rPr>
          <w:rFonts w:ascii="宋体" w:hAnsi="宋体"/>
        </w:rPr>
        <w:t>19.</w:t>
      </w:r>
      <w:r>
        <w:rPr>
          <w:rFonts w:ascii="宋体" w:hAnsi="宋体" w:hint="eastAsia"/>
        </w:rPr>
        <w:t>（</w:t>
      </w:r>
      <w:r>
        <w:rPr>
          <w:rFonts w:ascii="宋体" w:hAnsi="宋体"/>
        </w:rPr>
        <w:t>1</w:t>
      </w:r>
      <w:r>
        <w:rPr>
          <w:rFonts w:ascii="宋体" w:hAnsi="宋体" w:hint="eastAsia"/>
        </w:rPr>
        <w:t>）第六段见到琳琅满目的酒瓶，老耿头眼睛亮了一下，咽了咽口水。（</w:t>
      </w:r>
      <w:r>
        <w:rPr>
          <w:rFonts w:ascii="宋体" w:hAnsi="宋体"/>
        </w:rPr>
        <w:t>2</w:t>
      </w:r>
      <w:r>
        <w:rPr>
          <w:rFonts w:ascii="宋体" w:hAnsi="宋体" w:hint="eastAsia"/>
        </w:rPr>
        <w:t>）第⑩</w:t>
      </w:r>
      <w:r>
        <w:rPr>
          <w:rFonts w:ascii="Cambria Math" w:hAnsi="Cambria Math" w:cs="Cambria Math"/>
        </w:rPr>
        <w:t>⑪</w:t>
      </w:r>
      <w:r>
        <w:rPr>
          <w:rFonts w:ascii="宋体" w:hAnsi="宋体" w:cs="宋体" w:hint="eastAsia"/>
        </w:rPr>
        <w:t>两段喝酒时的沉醉及娴熟老道的动作中可以看出。（</w:t>
      </w:r>
      <w:r>
        <w:rPr>
          <w:rFonts w:ascii="宋体" w:hAnsi="宋体"/>
        </w:rPr>
        <w:t>3</w:t>
      </w:r>
      <w:r>
        <w:rPr>
          <w:rFonts w:ascii="宋体" w:hAnsi="宋体" w:hint="eastAsia"/>
        </w:rPr>
        <w:t>）老耿头喝酒几乎不吃菜。（4）老耿头摇摇晃晃</w:t>
      </w:r>
      <w:r>
        <w:rPr>
          <w:rFonts w:ascii="宋体" w:hAnsi="宋体"/>
        </w:rPr>
        <w:t>，装醉装的很像。</w:t>
      </w:r>
      <w:r>
        <w:rPr>
          <w:rFonts w:ascii="宋体" w:hAnsi="宋体" w:hint="eastAsia"/>
        </w:rPr>
        <w:t>若不是经常醉</w:t>
      </w:r>
      <w:r>
        <w:rPr>
          <w:rFonts w:ascii="宋体" w:hAnsi="宋体"/>
        </w:rPr>
        <w:t>，</w:t>
      </w:r>
      <w:r>
        <w:rPr>
          <w:rFonts w:ascii="宋体" w:hAnsi="宋体" w:hint="eastAsia"/>
        </w:rPr>
        <w:t>没有实际体验，</w:t>
      </w:r>
      <w:r>
        <w:rPr>
          <w:rFonts w:ascii="宋体" w:hAnsi="宋体"/>
        </w:rPr>
        <w:t>装不像。</w:t>
      </w:r>
      <w:r>
        <w:rPr>
          <w:rFonts w:ascii="宋体" w:hAnsi="宋体" w:hint="eastAsia"/>
        </w:rPr>
        <w:t>（写出3点</w:t>
      </w:r>
      <w:r>
        <w:rPr>
          <w:rFonts w:ascii="宋体" w:hAnsi="宋体"/>
        </w:rPr>
        <w:t>即可，共</w:t>
      </w:r>
      <w:r>
        <w:rPr>
          <w:rFonts w:ascii="宋体" w:hAnsi="宋体" w:hint="eastAsia"/>
        </w:rPr>
        <w:t>3分</w:t>
      </w:r>
      <w:r>
        <w:rPr>
          <w:rFonts w:ascii="宋体" w:hAnsi="宋体"/>
        </w:rPr>
        <w:t>。</w:t>
      </w:r>
      <w:r>
        <w:rPr>
          <w:rFonts w:ascii="宋体" w:hAnsi="宋体" w:hint="eastAsia"/>
        </w:rPr>
        <w:t>）</w:t>
      </w:r>
      <w:r>
        <w:rPr>
          <w:rFonts w:ascii="宋体" w:hAnsi="宋体"/>
        </w:rPr>
        <w:t>20.</w:t>
      </w:r>
      <w:r>
        <w:rPr>
          <w:rFonts w:ascii="宋体" w:hAnsi="宋体" w:hint="eastAsia"/>
        </w:rPr>
        <w:t>示例：表层指老耿头是快餐店里孤单喝酒的客人（2分）；深层指老耿头因孙子戒酒后只能借机在外喝水（“高粱酒”）自醉寻求安慰，反映了老耿头客居城市里无人理解的孤寂（2分。意思对即可）。</w:t>
      </w:r>
      <w:r>
        <w:rPr>
          <w:rFonts w:ascii="宋体" w:hAnsi="宋体"/>
        </w:rPr>
        <w:t>21.</w:t>
      </w:r>
      <w:r>
        <w:rPr>
          <w:rFonts w:ascii="宋体" w:hAnsi="宋体" w:hint="eastAsia"/>
        </w:rPr>
        <w:t>（</w:t>
      </w:r>
      <w:r>
        <w:rPr>
          <w:rFonts w:ascii="宋体" w:hAnsi="宋体"/>
        </w:rPr>
        <w:t>1</w:t>
      </w:r>
      <w:r>
        <w:rPr>
          <w:rFonts w:ascii="宋体" w:hAnsi="宋体" w:hint="eastAsia"/>
        </w:rPr>
        <w:t>）示例：第⑥段老耿头“眼睛亮了一下，咽了咽口水，摇摇头”和后文</w:t>
      </w:r>
      <w:r>
        <w:rPr>
          <w:rFonts w:ascii="MS Mincho" w:eastAsia="MS Mincho" w:hAnsi="MS Mincho" w:cs="MS Mincho" w:hint="eastAsia"/>
        </w:rPr>
        <w:t>㉗</w:t>
      </w:r>
      <w:r>
        <w:rPr>
          <w:rFonts w:ascii="宋体" w:hAnsi="宋体" w:cs="宋体" w:hint="eastAsia"/>
        </w:rPr>
        <w:t>段“没有酒味”相照应；（</w:t>
      </w:r>
      <w:r>
        <w:rPr>
          <w:rFonts w:ascii="宋体" w:hAnsi="宋体" w:hint="eastAsia"/>
        </w:rPr>
        <w:t>2）第⑦段“瓶子上歪歪扭扭的‘高粱酒’字样”和后文“标签是手写的纸片”相呼应(</w:t>
      </w:r>
      <w:r>
        <w:rPr>
          <w:rFonts w:ascii="宋体" w:hAnsi="宋体"/>
        </w:rPr>
        <w:t>1</w:t>
      </w:r>
      <w:r>
        <w:rPr>
          <w:rFonts w:ascii="宋体" w:hAnsi="宋体" w:hint="eastAsia"/>
        </w:rPr>
        <w:t>分)。这都是伏笔，使文章前后呼应，结构谨严。(1分)也</w:t>
      </w:r>
      <w:r>
        <w:rPr>
          <w:rFonts w:ascii="宋体" w:hAnsi="宋体"/>
        </w:rPr>
        <w:t>正是</w:t>
      </w:r>
      <w:r>
        <w:rPr>
          <w:rFonts w:ascii="宋体" w:hAnsi="宋体" w:hint="eastAsia"/>
        </w:rPr>
        <w:t>有</w:t>
      </w:r>
      <w:r>
        <w:rPr>
          <w:rFonts w:ascii="宋体" w:hAnsi="宋体"/>
        </w:rPr>
        <w:t>这些</w:t>
      </w:r>
      <w:r>
        <w:rPr>
          <w:rFonts w:ascii="宋体" w:hAnsi="宋体" w:hint="eastAsia"/>
        </w:rPr>
        <w:t>细节</w:t>
      </w:r>
      <w:r>
        <w:rPr>
          <w:rFonts w:ascii="宋体" w:hAnsi="宋体"/>
        </w:rPr>
        <w:t>的</w:t>
      </w:r>
      <w:r>
        <w:rPr>
          <w:rFonts w:ascii="宋体" w:hAnsi="宋体" w:hint="eastAsia"/>
        </w:rPr>
        <w:t>铺陈</w:t>
      </w:r>
      <w:r>
        <w:rPr>
          <w:rFonts w:ascii="宋体" w:hAnsi="宋体"/>
        </w:rPr>
        <w:t>，</w:t>
      </w:r>
      <w:r>
        <w:rPr>
          <w:rFonts w:ascii="宋体" w:hAnsi="宋体" w:hint="eastAsia"/>
        </w:rPr>
        <w:t>最后</w:t>
      </w:r>
      <w:r>
        <w:rPr>
          <w:rFonts w:ascii="宋体" w:hAnsi="宋体"/>
        </w:rPr>
        <w:t>卒章显志，</w:t>
      </w:r>
      <w:r>
        <w:rPr>
          <w:rFonts w:ascii="宋体" w:hAnsi="宋体" w:hint="eastAsia"/>
        </w:rPr>
        <w:t>才使文章</w:t>
      </w:r>
      <w:r>
        <w:rPr>
          <w:rFonts w:ascii="宋体" w:hAnsi="宋体"/>
        </w:rPr>
        <w:t>更能打动人心</w:t>
      </w:r>
      <w:r>
        <w:rPr>
          <w:rFonts w:ascii="宋体" w:hAnsi="宋体" w:hint="eastAsia"/>
        </w:rPr>
        <w:t>。（</w:t>
      </w:r>
      <w:r>
        <w:rPr>
          <w:rFonts w:ascii="宋体" w:hAnsi="宋体"/>
        </w:rPr>
        <w:t>1</w:t>
      </w:r>
      <w:r>
        <w:rPr>
          <w:rFonts w:ascii="宋体" w:hAnsi="宋体" w:hint="eastAsia"/>
        </w:rPr>
        <w:t>分）</w:t>
      </w:r>
      <w:r>
        <w:rPr>
          <w:rFonts w:ascii="宋体" w:hAnsi="宋体"/>
        </w:rPr>
        <w:t>。</w:t>
      </w:r>
    </w:p>
    <w:p>
      <w:pPr>
        <w:adjustRightInd w:val="0"/>
        <w:snapToGrid w:val="0"/>
        <w:ind w:firstLine="414" w:firstLineChars="197"/>
        <w:rPr>
          <w:rFonts w:hint="eastAsia"/>
        </w:rPr>
      </w:pPr>
    </w:p>
    <w:p>
      <w:pPr>
        <w:rPr>
          <w:rFonts w:ascii="黑体" w:eastAsia="黑体" w:hAnsi="黑体" w:hint="eastAsia"/>
          <w:szCs w:val="21"/>
        </w:rPr>
      </w:pPr>
      <w:r>
        <w:rPr>
          <w:rFonts w:ascii="黑体" w:eastAsia="黑体" w:hAnsi="黑体" w:hint="eastAsia"/>
          <w:szCs w:val="21"/>
        </w:rPr>
        <w:t xml:space="preserve">五、写作（40分）  </w:t>
      </w:r>
    </w:p>
    <w:p>
      <w:pPr>
        <w:ind w:firstLine="105" w:firstLineChars="50"/>
        <w:rPr>
          <w:rFonts w:hint="eastAsia"/>
          <w:szCs w:val="21"/>
        </w:rPr>
      </w:pPr>
      <w:r>
        <w:rPr>
          <w:rFonts w:hint="eastAsia"/>
          <w:szCs w:val="21"/>
        </w:rPr>
        <w:t>2</w:t>
      </w:r>
      <w:r>
        <w:rPr>
          <w:szCs w:val="21"/>
        </w:rPr>
        <w:t>2</w:t>
      </w:r>
      <w:r>
        <w:rPr>
          <w:rFonts w:hint="eastAsia"/>
          <w:szCs w:val="21"/>
        </w:rPr>
        <w:t>.评分标准</w:t>
      </w:r>
    </w:p>
    <w:tbl>
      <w:tblPr>
        <w:tblStyle w:val="TableNormal"/>
        <w:tblW w:w="0" w:type="auto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1"/>
        <w:gridCol w:w="1701"/>
        <w:gridCol w:w="1985"/>
        <w:gridCol w:w="1417"/>
        <w:gridCol w:w="1468"/>
      </w:tblGrid>
      <w:tr>
        <w:tblPrEx>
          <w:tblW w:w="0" w:type="auto"/>
          <w:tblInd w:w="250" w:type="dxa"/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top"/>
          </w:tcPr>
          <w:p>
            <w:pPr>
              <w:jc w:val="left"/>
              <w:rPr>
                <w:rFonts w:ascii="宋体" w:hAnsi="宋体"/>
                <w:b/>
                <w:szCs w:val="22"/>
              </w:rPr>
            </w:pPr>
            <w:bookmarkStart w:id="0" w:name="_GoBack"/>
            <w:r>
              <w:rPr>
                <w:b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-1270</wp:posOffset>
                      </wp:positionV>
                      <wp:extent cx="1059180" cy="318770"/>
                      <wp:effectExtent l="1270" t="4445" r="6350" b="19685"/>
                      <wp:wrapNone/>
                      <wp:docPr id="12" name="组合 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 xmlns:wpg="http://schemas.microsoft.com/office/word/2010/wordprocessingGroup">
                            <wpg:cNvGrpSpPr/>
                            <wpg:grpSpPr>
                              <a:xfrm>
                                <a:off x="0" y="0"/>
                                <a:ext cx="1059180" cy="318770"/>
                                <a:chOff x="1697" y="2074"/>
                                <a:chExt cx="1694" cy="545"/>
                              </a:xfrm>
                            </wpg:grpSpPr>
                            <wps:wsp xmlns:wps="http://schemas.microsoft.com/office/word/2010/wordprocessingShape">
                              <wps:cNvPr id="7" name="直接连接符 7"/>
                              <wps:cNvSpPr/>
                              <wps:spPr>
                                <a:xfrm>
                                  <a:off x="1697" y="2074"/>
                                  <a:ext cx="1694" cy="545"/>
                                </a:xfrm>
                                <a:prstGeom prst="line">
                                  <a:avLst/>
                                </a:prstGeom>
                                <a:ln w="6350">
                                  <a:solidFill>
                                    <a:srgbClr val="000000"/>
                                  </a:solidFill>
                                  <a:headEnd/>
                                  <a:tailEnd/>
                                </a:ln>
                              </wps:spPr>
                              <wps:bodyPr upright="1"/>
                            </wps:wsp>
                            <wps:wsp xmlns:wps="http://schemas.microsoft.com/office/word/2010/wordprocessingShape">
                              <wps:cNvPr id="8" name="文本框 8"/>
                              <wps:cNvSpPr txBox="1"/>
                              <wps:spPr>
                                <a:xfrm>
                                  <a:off x="2620" y="2103"/>
                                  <a:ext cx="252" cy="26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snapToGrid w:val="0"/>
                                      <w:rPr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color w:val="000000"/>
                                      </w:rPr>
                                      <w:t>项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  <wps:wsp xmlns:wps="http://schemas.microsoft.com/office/word/2010/wordprocessingShape">
                              <wps:cNvPr id="9" name="文本框 9"/>
                              <wps:cNvSpPr txBox="1"/>
                              <wps:spPr>
                                <a:xfrm>
                                  <a:off x="2966" y="2215"/>
                                  <a:ext cx="252" cy="2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snapToGrid w:val="0"/>
                                      <w:rPr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color w:val="000000"/>
                                      </w:rPr>
                                      <w:t>目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  <wps:wsp xmlns:wps="http://schemas.microsoft.com/office/word/2010/wordprocessingShape">
                              <wps:cNvPr id="10" name="文本框 10"/>
                              <wps:cNvSpPr txBox="1"/>
                              <wps:spPr>
                                <a:xfrm>
                                  <a:off x="1830" y="2259"/>
                                  <a:ext cx="253" cy="26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snapToGrid w:val="0"/>
                                      <w:rPr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color w:val="000000"/>
                                      </w:rPr>
                                      <w:t>类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  <wps:wsp xmlns:wps="http://schemas.microsoft.com/office/word/2010/wordprocessingShape">
                              <wps:cNvPr id="11" name="文本框 11"/>
                              <wps:cNvSpPr txBox="1"/>
                              <wps:spPr>
                                <a:xfrm>
                                  <a:off x="2087" y="2342"/>
                                  <a:ext cx="252" cy="2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snapToGrid w:val="0"/>
                                      <w:rPr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color w:val="000000"/>
                                      </w:rPr>
                                      <w:t>别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style="width:83.4pt;height:25.1pt;margin-top:-0.1pt;margin-left:-5.15pt;mso-height-relative:page;mso-width-relative:page;position:absolute;z-index:251660288" coordorigin="1697,2074" coordsize="1694,545">
                      <o:lock v:ext="edit" aspectratio="f"/>
                      <v:line id="_x0000_s1026" o:spid="_x0000_s1027" style="position:absolute" from="33940,41480" to="67820,52380" coordsize="21600,21600" stroked="t" strokecolor="black">
                        <v:stroke joinstyle="round"/>
                        <o:lock v:ext="edit" aspectratio="f"/>
                      </v:lin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_x0000_s1026" o:spid="_x0000_s1028" type="#_x0000_t202" style="width:252;height:263;left:2620;position:absolute;top:2103" coordsize="21600,21600" filled="f" stroked="f">
                        <o:lock v:ext="edit" aspectratio="f"/>
                        <v:textbox inset="0,0,0,0">
                          <w:txbxContent>
                            <w:p>
                              <w:pPr>
                                <w:snapToGrid w:val="0"/>
                                <w:rPr>
                                  <w:color w:val="00000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</w:rPr>
                                <w:t>项</w:t>
                              </w:r>
                            </w:p>
                          </w:txbxContent>
                        </v:textbox>
                      </v:shape>
                      <v:shape id="_x0000_s1026" o:spid="_x0000_s1029" type="#_x0000_t202" style="width:252;height:262;left:2966;position:absolute;top:2215" coordsize="21600,21600" filled="f" stroked="f">
                        <o:lock v:ext="edit" aspectratio="f"/>
                        <v:textbox inset="0,0,0,0">
                          <w:txbxContent>
                            <w:p>
                              <w:pPr>
                                <w:snapToGrid w:val="0"/>
                                <w:rPr>
                                  <w:color w:val="00000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</w:rPr>
                                <w:t>目</w:t>
                              </w:r>
                            </w:p>
                          </w:txbxContent>
                        </v:textbox>
                      </v:shape>
                      <v:shape id="_x0000_s1026" o:spid="_x0000_s1030" type="#_x0000_t202" style="width:253;height:263;left:1830;position:absolute;top:2259" coordsize="21600,21600" filled="f" stroked="f">
                        <o:lock v:ext="edit" aspectratio="f"/>
                        <v:textbox inset="0,0,0,0">
                          <w:txbxContent>
                            <w:p>
                              <w:pPr>
                                <w:snapToGrid w:val="0"/>
                                <w:rPr>
                                  <w:color w:val="00000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</w:rPr>
                                <w:t>类</w:t>
                              </w:r>
                            </w:p>
                          </w:txbxContent>
                        </v:textbox>
                      </v:shape>
                      <v:shape id="_x0000_s1026" o:spid="_x0000_s1031" type="#_x0000_t202" style="width:252;height:262;left:2087;position:absolute;top:2342" coordsize="21600,21600" filled="f" stroked="f">
                        <o:lock v:ext="edit" aspectratio="f"/>
                        <v:textbox inset="0,0,0,0">
                          <w:txbxContent>
                            <w:p>
                              <w:pPr>
                                <w:snapToGrid w:val="0"/>
                                <w:rPr>
                                  <w:color w:val="00000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</w:rPr>
                                <w:t>别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bookmarkEnd w:id="0"/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内  容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结  构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语  言</w:t>
            </w:r>
          </w:p>
        </w:tc>
        <w:tc>
          <w:tcPr>
            <w:tcW w:w="1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书  写</w:t>
            </w:r>
          </w:p>
        </w:tc>
      </w:tr>
      <w:tr>
        <w:tblPrEx>
          <w:tblW w:w="0" w:type="auto"/>
          <w:tblInd w:w="25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一类卷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（40～34分）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符合题意</w:t>
            </w:r>
          </w:p>
          <w:p>
            <w:pPr>
              <w:jc w:val="center"/>
              <w:rPr>
                <w:rFonts w:ascii="宋体" w:hAnsi="宋体" w:hint="eastAsia"/>
                <w:b/>
              </w:rPr>
            </w:pPr>
            <w:r>
              <w:rPr>
                <w:rFonts w:ascii="宋体" w:hAnsi="宋体" w:hint="eastAsia"/>
                <w:b/>
              </w:rPr>
              <w:t>感情真挚</w:t>
            </w:r>
          </w:p>
          <w:p>
            <w:pPr>
              <w:jc w:val="center"/>
              <w:rPr>
                <w:rFonts w:ascii="宋体" w:hAnsi="宋体" w:hint="eastAsia"/>
                <w:b/>
              </w:rPr>
            </w:pPr>
            <w:r>
              <w:rPr>
                <w:rFonts w:ascii="宋体" w:hAnsi="宋体" w:hint="eastAsia"/>
                <w:b/>
              </w:rPr>
              <w:t>中心明确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内容充实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结构完整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符合文体要求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语言流畅</w:t>
            </w:r>
          </w:p>
        </w:tc>
        <w:tc>
          <w:tcPr>
            <w:tcW w:w="1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书写工整4分</w:t>
            </w:r>
          </w:p>
        </w:tc>
      </w:tr>
      <w:tr>
        <w:tblPrEx>
          <w:tblW w:w="0" w:type="auto"/>
          <w:tblInd w:w="25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二类卷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（33～28分）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符合题意</w:t>
            </w:r>
          </w:p>
          <w:p>
            <w:pPr>
              <w:jc w:val="center"/>
              <w:rPr>
                <w:rFonts w:ascii="宋体" w:hAnsi="宋体" w:hint="eastAsia"/>
                <w:b/>
              </w:rPr>
            </w:pPr>
            <w:r>
              <w:rPr>
                <w:rFonts w:ascii="宋体" w:hAnsi="宋体" w:hint="eastAsia"/>
                <w:b/>
              </w:rPr>
              <w:t>感情真实</w:t>
            </w:r>
          </w:p>
          <w:p>
            <w:pPr>
              <w:jc w:val="center"/>
              <w:rPr>
                <w:rFonts w:ascii="宋体" w:hAnsi="宋体" w:hint="eastAsia"/>
                <w:b/>
              </w:rPr>
            </w:pPr>
            <w:r>
              <w:rPr>
                <w:rFonts w:ascii="宋体" w:hAnsi="宋体" w:hint="eastAsia"/>
                <w:b/>
              </w:rPr>
              <w:t>中心基本明确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内容较充实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结构基本完整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大体符合文体要求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语句通顺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偶有语病</w:t>
            </w:r>
          </w:p>
        </w:tc>
        <w:tc>
          <w:tcPr>
            <w:tcW w:w="1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书写较清楚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卷面较整洁3分</w:t>
            </w:r>
          </w:p>
        </w:tc>
      </w:tr>
      <w:tr>
        <w:tblPrEx>
          <w:tblW w:w="0" w:type="auto"/>
          <w:tblInd w:w="25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三类卷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（27～20分）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基本符合题意</w:t>
            </w:r>
          </w:p>
          <w:p>
            <w:pPr>
              <w:jc w:val="center"/>
              <w:rPr>
                <w:rFonts w:ascii="宋体" w:hAnsi="宋体" w:hint="eastAsia"/>
                <w:b/>
              </w:rPr>
            </w:pPr>
            <w:r>
              <w:rPr>
                <w:rFonts w:ascii="宋体" w:hAnsi="宋体" w:hint="eastAsia"/>
                <w:b/>
              </w:rPr>
              <w:t>内容不够具体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中心不够明确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结构不够完整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条理不很清楚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语句不通顺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语病较多</w:t>
            </w:r>
          </w:p>
        </w:tc>
        <w:tc>
          <w:tcPr>
            <w:tcW w:w="1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书写不工整2分</w:t>
            </w:r>
          </w:p>
        </w:tc>
      </w:tr>
      <w:tr>
        <w:tblPrEx>
          <w:tblW w:w="0" w:type="auto"/>
          <w:tblInd w:w="25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四类卷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（19分以下）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文不对题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观点错误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结构混乱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文理不通</w:t>
            </w:r>
          </w:p>
        </w:tc>
        <w:tc>
          <w:tcPr>
            <w:tcW w:w="1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ascii="宋体" w:hAnsi="宋体" w:hint="eastAsia"/>
                <w:b/>
              </w:rPr>
              <w:t>书写潦草0分</w:t>
            </w:r>
          </w:p>
        </w:tc>
      </w:tr>
    </w:tbl>
    <w:p>
      <w:pPr>
        <w:pStyle w:val="PlainText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000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420" w:firstLineChars="200"/>
        <w:rPr>
          <w:rFonts w:hAnsi="宋体"/>
          <w:b/>
        </w:rPr>
      </w:pPr>
    </w:p>
    <w:p>
      <w:pPr>
        <w:ind w:firstLine="420" w:firstLineChars="200"/>
        <w:rPr>
          <w:b/>
        </w:rPr>
      </w:pPr>
    </w:p>
    <w:p/>
    <w:p>
      <w:pPr>
        <w:wordWrap/>
        <w:spacing w:beforeAutospacing="0" w:afterAutospacing="0" w:line="360" w:lineRule="auto"/>
      </w:pPr>
    </w:p>
    <w:sectPr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Arial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Mincho">
    <w:panose1 w:val="02020609040205080304"/>
    <w:charset w:val="80"/>
    <w:family w:val="modern"/>
    <w:pitch w:val="default"/>
    <w:sig w:usb0="A00002BF" w:usb1="68C7FCFB" w:usb2="00000010" w:usb3="00000000" w:csb0="4002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5B8649B"/>
    <w:rsid w:val="1ED86FED"/>
    <w:rsid w:val="21D851B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 w:qFormat="1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qFormat/>
    <w:rPr>
      <w:rFonts w:ascii="宋体" w:hAnsi="Courier New" w:cs="Courier New"/>
      <w:szCs w:val="21"/>
    </w:r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PageNumber">
    <w:name w:val="page number"/>
    <w:basedOn w:val="DefaultParagraphFont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张波</dc:creator>
  <cp:lastModifiedBy>Administrator</cp:lastModifiedBy>
  <cp:revision>0</cp:revision>
  <dcterms:created xsi:type="dcterms:W3CDTF">2014-10-29T12:08:00Z</dcterms:created>
  <dcterms:modified xsi:type="dcterms:W3CDTF">2020-01-09T03:43:54Z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