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5pt;height:30pt;margin-top:902pt;margin-left:857pt;mso-position-horizontal-relative:page;mso-position-vertical-relative:top-margin-area;position:absolute;z-index:251658240">
            <v:imagedata r:id="rId5" o:title=""/>
            <o:lock v:ext="edit" aspectratio="t"/>
          </v:shape>
        </w:pict>
      </w:r>
      <w:bookmarkStart w:id="0" w:name="年安徽省中考化学模拟试卷四"/>
      <w:r>
        <w:t>2019年安徽省中考化学模拟试卷（四）</w:t>
      </w:r>
      <w:bookmarkEnd w:id="0"/>
    </w:p>
    <w:p>
      <w:r>
        <w:t> </w:t>
      </w:r>
    </w:p>
    <w:p>
      <w:pPr>
        <w:pStyle w:val="BodyText"/>
      </w:pPr>
      <w:r>
        <w:t>一、单选题（本大题共 9 小题，共 18 分）</w:t>
      </w:r>
    </w:p>
    <w:p>
      <w:pPr>
        <w:pStyle w:val="BodyText"/>
      </w:pPr>
      <w:r>
        <w:t>1、 下面O</w:t>
      </w:r>
      <w:r>
        <w:rPr>
          <w:vertAlign w:val="subscript"/>
        </w:rPr>
        <w:t>2</w:t>
      </w:r>
      <w:r>
        <w:t>和CO</w:t>
      </w:r>
      <w:r>
        <w:rPr>
          <w:vertAlign w:val="subscript"/>
        </w:rPr>
        <w:t>2</w:t>
      </w:r>
      <w:r>
        <w:t>的自述中，属于物理性质的是（　　）</w:t>
      </w:r>
    </w:p>
    <w:tbl>
      <w:tblPr>
        <w:tblStyle w:val="HostTable-Borderless"/>
        <w:tblW w:w="5000" w:type="pct"/>
        <w:tblInd w:w="0" w:type="dxa"/>
        <w:tblCellMar>
          <w:top w:w="0" w:type="dxa"/>
          <w:left w:w="0" w:type="dxa"/>
          <w:bottom w:w="0" w:type="dxa"/>
          <w:right w:w="0" w:type="dxa"/>
        </w:tblCellMar>
      </w:tblPr>
      <w:tblGrid>
        <w:gridCol w:w="2204"/>
        <w:gridCol w:w="2369"/>
        <w:gridCol w:w="2742"/>
        <w:gridCol w:w="2771"/>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327785" cy="130873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314230" name="Picture"/>
                          <pic:cNvPicPr>
                            <a:picLocks noChangeAspect="1" noChangeArrowheads="1"/>
                          </pic:cNvPicPr>
                        </pic:nvPicPr>
                        <pic:blipFill>
                          <a:blip xmlns:r="http://schemas.openxmlformats.org/officeDocument/2006/relationships" r:embed="rId6"/>
                          <a:stretch>
                            <a:fillRect/>
                          </a:stretch>
                        </pic:blipFill>
                        <pic:spPr>
                          <a:xfrm>
                            <a:off x="0" y="0"/>
                            <a:ext cx="1328286" cy="1309035"/>
                          </a:xfrm>
                          <a:prstGeom prst="rect">
                            <a:avLst/>
                          </a:prstGeom>
                          <a:noFill/>
                          <a:ln w="9525">
                            <a:noFill/>
                          </a:ln>
                        </pic:spPr>
                      </pic:pic>
                    </a:graphicData>
                  </a:graphic>
                </wp:inline>
              </w:drawing>
            </w:r>
          </w:p>
        </w:tc>
        <w:tc>
          <w:tcPr/>
          <w:p>
            <w:pPr>
              <w:pStyle w:val="Compact"/>
              <w:jc w:val="left"/>
            </w:pPr>
            <w:r>
              <w:t>B.</w:t>
            </w:r>
            <w:r>
              <w:drawing>
                <wp:inline distT="0" distB="0" distL="114300" distR="114300">
                  <wp:extent cx="1433830" cy="817880"/>
                  <wp:effectExtent l="0" t="0" r="0" b="0"/>
                  <wp:docPr id="1981203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313669" name="Picture"/>
                          <pic:cNvPicPr>
                            <a:picLocks noChangeAspect="1" noChangeArrowheads="1"/>
                          </pic:cNvPicPr>
                        </pic:nvPicPr>
                        <pic:blipFill>
                          <a:blip xmlns:r="http://schemas.openxmlformats.org/officeDocument/2006/relationships" r:embed="rId7"/>
                          <a:stretch>
                            <a:fillRect/>
                          </a:stretch>
                        </pic:blipFill>
                        <pic:spPr>
                          <a:xfrm>
                            <a:off x="0" y="0"/>
                            <a:ext cx="1434164" cy="818147"/>
                          </a:xfrm>
                          <a:prstGeom prst="rect">
                            <a:avLst/>
                          </a:prstGeom>
                          <a:noFill/>
                          <a:ln w="9525">
                            <a:noFill/>
                          </a:ln>
                        </pic:spPr>
                      </pic:pic>
                    </a:graphicData>
                  </a:graphic>
                </wp:inline>
              </w:drawing>
            </w:r>
          </w:p>
        </w:tc>
        <w:tc>
          <w:tcPr/>
          <w:p>
            <w:pPr>
              <w:pStyle w:val="Compact"/>
              <w:jc w:val="left"/>
            </w:pPr>
            <w:r>
              <w:t>C.</w:t>
            </w:r>
            <w:r>
              <w:drawing>
                <wp:inline distT="0" distB="0" distL="114300" distR="114300">
                  <wp:extent cx="1674495" cy="1289685"/>
                  <wp:effectExtent l="0" t="0" r="0" b="0"/>
                  <wp:docPr id="86240710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824202" name="Picture"/>
                          <pic:cNvPicPr>
                            <a:picLocks noChangeAspect="1" noChangeArrowheads="1"/>
                          </pic:cNvPicPr>
                        </pic:nvPicPr>
                        <pic:blipFill>
                          <a:blip xmlns:r="http://schemas.openxmlformats.org/officeDocument/2006/relationships" r:embed="rId8"/>
                          <a:stretch>
                            <a:fillRect/>
                          </a:stretch>
                        </pic:blipFill>
                        <pic:spPr>
                          <a:xfrm>
                            <a:off x="0" y="0"/>
                            <a:ext cx="1674795" cy="1289785"/>
                          </a:xfrm>
                          <a:prstGeom prst="rect">
                            <a:avLst/>
                          </a:prstGeom>
                          <a:noFill/>
                          <a:ln w="9525">
                            <a:noFill/>
                          </a:ln>
                        </pic:spPr>
                      </pic:pic>
                    </a:graphicData>
                  </a:graphic>
                </wp:inline>
              </w:drawing>
            </w:r>
          </w:p>
        </w:tc>
        <w:tc>
          <w:tcPr/>
          <w:p>
            <w:pPr>
              <w:pStyle w:val="Compact"/>
              <w:jc w:val="left"/>
            </w:pPr>
            <w:r>
              <w:t>D.</w:t>
            </w:r>
            <w:r>
              <w:drawing>
                <wp:inline distT="0" distB="0" distL="114300" distR="114300">
                  <wp:extent cx="1684020" cy="827405"/>
                  <wp:effectExtent l="0" t="0" r="0" b="0"/>
                  <wp:docPr id="1168372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134698" name="Picture"/>
                          <pic:cNvPicPr>
                            <a:picLocks noChangeAspect="1" noChangeArrowheads="1"/>
                          </pic:cNvPicPr>
                        </pic:nvPicPr>
                        <pic:blipFill>
                          <a:blip xmlns:r="http://schemas.openxmlformats.org/officeDocument/2006/relationships" r:embed="rId9"/>
                          <a:stretch>
                            <a:fillRect/>
                          </a:stretch>
                        </pic:blipFill>
                        <pic:spPr>
                          <a:xfrm>
                            <a:off x="0" y="0"/>
                            <a:ext cx="1684421" cy="827772"/>
                          </a:xfrm>
                          <a:prstGeom prst="rect">
                            <a:avLst/>
                          </a:prstGeom>
                          <a:noFill/>
                          <a:ln w="9525">
                            <a:noFill/>
                          </a:ln>
                        </pic:spPr>
                      </pic:pic>
                    </a:graphicData>
                  </a:graphic>
                </wp:inline>
              </w:drawing>
            </w:r>
          </w:p>
        </w:tc>
      </w:tr>
    </w:tbl>
    <w:p>
      <w:pPr>
        <w:pStyle w:val="BodyText"/>
      </w:pPr>
      <w:r>
        <w:t>【 答 案 】</w:t>
      </w:r>
    </w:p>
    <w:p>
      <w:pPr>
        <w:pStyle w:val="BodyText"/>
      </w:pPr>
      <w:r>
        <w:t>B</w:t>
      </w:r>
    </w:p>
    <w:p>
      <w:pPr>
        <w:pStyle w:val="BodyText"/>
      </w:pPr>
      <w:r>
        <w:t>【 解析 】</w:t>
      </w:r>
    </w:p>
    <w:p>
      <w:pPr>
        <w:pStyle w:val="BodyText"/>
      </w:pPr>
      <w:r>
        <w:t>解：A、氧气的助燃性属于物质的化学性质，故A错误；</w:t>
      </w:r>
      <w:r>
        <w:br/>
      </w:r>
      <w:r>
        <w:t>B、干冰用作人工降雨，是利用干冰升华时吸收大量的热，而使空气中的水蒸气形成降雨，利用的是其物理性质，故B正确；</w:t>
      </w:r>
      <w:r>
        <w:br/>
      </w:r>
      <w:r>
        <w:t>C、氧气使铁生锈是氧气的氧化性，属于化学性质，故C错误；</w:t>
      </w:r>
      <w:r>
        <w:br/>
      </w:r>
      <w:r>
        <w:t>D、二氧化碳和水在光照的条件下的光合作用，属于化学性质；</w:t>
      </w:r>
      <w:r>
        <w:br/>
      </w:r>
      <w:r>
        <w:t>故选：B。</w:t>
      </w:r>
      <w:r>
        <w:br/>
      </w:r>
      <w:r>
        <w:t>物质的物理性质是指不需要通过化学变化表现出来的性质。物理性质主要有：颜色、状态、气味、密度、硬度、熔点、沸点等。</w:t>
      </w:r>
      <w:r>
        <w:br/>
      </w:r>
      <w:r>
        <w:t>物质在某方面的用途中表现的是物理性质还是化学性质，要看其发生的是物理变化还是化学变化。</w:t>
      </w:r>
    </w:p>
    <w:p>
      <w:pPr>
        <w:pStyle w:val="BodyText"/>
      </w:pPr>
      <w:r>
        <w:br/>
      </w:r>
      <w:r>
        <w:t>2、由我国著名科学家、中国科学院院士张青莲教授主持测定了铟、铱、锑、铸等几种元素的相对原子质量新值，其中他测定核电荷数为63的铕元素的相对原子质量的新值为152，则下列说法正确的是（　　）</w:t>
      </w:r>
    </w:p>
    <w:tbl>
      <w:tblPr>
        <w:tblStyle w:val="HostTable-Borderless"/>
        <w:tblW w:w="5000" w:type="pct"/>
        <w:tblInd w:w="0" w:type="dxa"/>
        <w:tblCellMar>
          <w:top w:w="0" w:type="dxa"/>
          <w:left w:w="0" w:type="dxa"/>
          <w:bottom w:w="0" w:type="dxa"/>
          <w:right w:w="0" w:type="dxa"/>
        </w:tblCellMar>
      </w:tblPr>
      <w:tblGrid>
        <w:gridCol w:w="5513"/>
        <w:gridCol w:w="4573"/>
      </w:tblGrid>
      <w:tr>
        <w:tblPrEx>
          <w:tblW w:w="5000" w:type="pct"/>
          <w:tblInd w:w="0" w:type="dxa"/>
          <w:tblCellMar>
            <w:top w:w="0" w:type="dxa"/>
            <w:left w:w="0" w:type="dxa"/>
            <w:bottom w:w="0" w:type="dxa"/>
            <w:right w:w="0" w:type="dxa"/>
          </w:tblCellMar>
        </w:tblPrEx>
        <w:tc>
          <w:tcPr/>
          <w:p>
            <w:pPr>
              <w:pStyle w:val="Compact"/>
              <w:jc w:val="left"/>
            </w:pPr>
            <w:r>
              <w:t>A.铕元素原子的质子数为63</w:t>
            </w:r>
          </w:p>
        </w:tc>
        <w:tc>
          <w:tcPr/>
          <w:p>
            <w:pPr>
              <w:pStyle w:val="Compact"/>
              <w:jc w:val="left"/>
            </w:pPr>
            <w:r>
              <w:t>B.铕元素原子的中子数为63</w:t>
            </w:r>
          </w:p>
        </w:tc>
      </w:tr>
      <w:tr>
        <w:tblPrEx>
          <w:tblW w:w="5000" w:type="pct"/>
          <w:tblInd w:w="0" w:type="dxa"/>
          <w:tblCellMar>
            <w:top w:w="0" w:type="dxa"/>
            <w:left w:w="0" w:type="dxa"/>
            <w:bottom w:w="0" w:type="dxa"/>
            <w:right w:w="0" w:type="dxa"/>
          </w:tblCellMar>
        </w:tblPrEx>
        <w:tc>
          <w:tcPr/>
          <w:p>
            <w:pPr>
              <w:pStyle w:val="Compact"/>
              <w:jc w:val="left"/>
            </w:pPr>
            <w:r>
              <w:t>C.铕元素原子的核外电子数为152</w:t>
            </w:r>
          </w:p>
        </w:tc>
        <w:tc>
          <w:tcPr/>
          <w:p>
            <w:pPr>
              <w:pStyle w:val="Compact"/>
              <w:jc w:val="left"/>
            </w:pPr>
            <w:r>
              <w:t>D.铕元素原子的质量为152</w:t>
            </w:r>
          </w:p>
        </w:tc>
      </w:tr>
    </w:tbl>
    <w:p>
      <w:pPr>
        <w:pStyle w:val="BodyText"/>
      </w:pPr>
      <w:r>
        <w:t>【 答 案 】</w:t>
      </w:r>
    </w:p>
    <w:p>
      <w:pPr>
        <w:pStyle w:val="BodyText"/>
      </w:pPr>
      <w:r>
        <w:t>A</w:t>
      </w:r>
    </w:p>
    <w:p>
      <w:pPr>
        <w:pStyle w:val="BodyText"/>
      </w:pPr>
      <w:r>
        <w:t>【 解析 】</w:t>
      </w:r>
    </w:p>
    <w:p>
      <w:pPr>
        <w:pStyle w:val="BodyText"/>
      </w:pPr>
      <w:r>
        <w:t>解：原子一般是由质子、中子、电子构成的，其中中子不带电，一个质子带一个单位的正电荷，一个电子带一个单位的负电荷，原子对外不显电性，所以在在原子中质子数=核电荷数=核外电子数，铕元素的核电荷数为63，其质子数和电子数也为63，所以A正确，C错误；</w:t>
      </w:r>
      <w:r>
        <w:br/>
      </w:r>
      <w:r>
        <w:t>B、根据相对原子质量≈质子数+中子数，铕元素原子的中子数为152-63=89，所以错误；</w:t>
      </w:r>
      <w:r>
        <w:br/>
      </w:r>
      <w:r>
        <w:t>D、铕元素原子的质量是指实际质量，其单位一般是克，在该题中无法判断。</w:t>
      </w:r>
      <w:r>
        <w:br/>
      </w:r>
      <w:r>
        <w:t>故选：A。</w:t>
      </w:r>
      <w:r>
        <w:br/>
      </w:r>
      <w:r>
        <w:t>A、根据在原子中质子数=核电荷数=核外电子数判断；</w:t>
      </w:r>
      <w:r>
        <w:br/>
      </w:r>
      <w:r>
        <w:t>B、根据相对原子质量≈质子数+中子数计算；</w:t>
      </w:r>
      <w:r>
        <w:br/>
      </w:r>
      <w:r>
        <w:t>C、根据在原子中质子数=核电荷数=核外电子数判断；</w:t>
      </w:r>
      <w:r>
        <w:br/>
      </w:r>
      <w:r>
        <w:t>D、根据原子质量与相对原子质量的区别判断。</w:t>
      </w:r>
      <w:r>
        <w:br/>
      </w:r>
      <w:r>
        <w:t>日本核泄漏事件引起了人们对原子结构和核反应的关注，这会对中考有导向作用，对原子结构及其原子内部构成粒子间的数目和电性、电荷关系的考查将会成为热点中的热点。</w:t>
      </w:r>
    </w:p>
    <w:p>
      <w:pPr>
        <w:pStyle w:val="BodyText"/>
      </w:pPr>
      <w:r>
        <w:br/>
      </w:r>
      <w:r>
        <w:t>3、水是生命之源，保护水资源，防止水污染是每个公民和全社会的责任．下列做法有利于防止水资源污染的是（　　）</w:t>
      </w:r>
      <w:r>
        <w:br/>
      </w:r>
      <w:r>
        <w:t>①农业生产中要合理使用农药和化肥  ②工业废水和生活污水处理达标后再排放   ③不用含磷洗衣粉  ④将海水淡化．</w:t>
      </w:r>
    </w:p>
    <w:tbl>
      <w:tblPr>
        <w:tblStyle w:val="HostTable-Borderless"/>
        <w:tblW w:w="5000" w:type="pct"/>
        <w:tblInd w:w="0" w:type="dxa"/>
        <w:tblCellMar>
          <w:top w:w="0" w:type="dxa"/>
          <w:left w:w="0" w:type="dxa"/>
          <w:bottom w:w="0" w:type="dxa"/>
          <w:right w:w="0" w:type="dxa"/>
        </w:tblCellMar>
      </w:tblPr>
      <w:tblGrid>
        <w:gridCol w:w="2366"/>
        <w:gridCol w:w="2360"/>
        <w:gridCol w:w="2333"/>
        <w:gridCol w:w="3027"/>
      </w:tblGrid>
      <w:tr>
        <w:tblPrEx>
          <w:tblW w:w="5000" w:type="pct"/>
          <w:tblInd w:w="0" w:type="dxa"/>
          <w:tblCellMar>
            <w:top w:w="0" w:type="dxa"/>
            <w:left w:w="0" w:type="dxa"/>
            <w:bottom w:w="0" w:type="dxa"/>
            <w:right w:w="0" w:type="dxa"/>
          </w:tblCellMar>
        </w:tblPrEx>
        <w:tc>
          <w:tcPr/>
          <w:p>
            <w:pPr>
              <w:pStyle w:val="Compact"/>
              <w:jc w:val="left"/>
            </w:pPr>
            <w:r>
              <w:t>A.①②④</w:t>
            </w:r>
          </w:p>
        </w:tc>
        <w:tc>
          <w:tcPr/>
          <w:p>
            <w:pPr>
              <w:pStyle w:val="Compact"/>
              <w:jc w:val="left"/>
            </w:pPr>
            <w:r>
              <w:t>B.②③④</w:t>
            </w:r>
          </w:p>
        </w:tc>
        <w:tc>
          <w:tcPr/>
          <w:p>
            <w:pPr>
              <w:pStyle w:val="Compact"/>
              <w:jc w:val="left"/>
            </w:pPr>
            <w:r>
              <w:t>C.①②③</w:t>
            </w:r>
          </w:p>
        </w:tc>
        <w:tc>
          <w:tcPr/>
          <w:p>
            <w:pPr>
              <w:pStyle w:val="Compact"/>
              <w:jc w:val="left"/>
            </w:pPr>
            <w:r>
              <w:t>D.①②③④</w:t>
            </w:r>
          </w:p>
        </w:tc>
      </w:tr>
    </w:tbl>
    <w:p>
      <w:pPr>
        <w:pStyle w:val="BodyText"/>
      </w:pPr>
      <w:r>
        <w:t>【 答 案 】</w:t>
      </w:r>
    </w:p>
    <w:p>
      <w:pPr>
        <w:pStyle w:val="BodyText"/>
      </w:pPr>
      <w:r>
        <w:t>C</w:t>
      </w:r>
    </w:p>
    <w:p>
      <w:pPr>
        <w:pStyle w:val="BodyText"/>
      </w:pPr>
      <w:r>
        <w:t>【 解析 】</w:t>
      </w:r>
    </w:p>
    <w:p>
      <w:pPr>
        <w:pStyle w:val="BodyText"/>
      </w:pPr>
      <w:r>
        <w:t>解：水污染途径有：工业废水的任意排放，农业废水的任意排放，生活污水的任意排放，化肥和农药的任意使用，所以防治方法是：工业废水、农业废水、生活污水经过处理后再排放，合理地使用化肥和农药，由于含磷洗衣粉能使水富营养化，造成赤潮和水华现象，所以不用含磷洗衣粉有利于防止水污染，海水淡化与水的污染没有直接关系。</w:t>
      </w:r>
      <w:r>
        <w:br/>
      </w:r>
      <w:r>
        <w:t>故选：C。</w:t>
      </w:r>
      <w:r>
        <w:br/>
      </w:r>
      <w:r>
        <w:t>根据水污染的途径来推测出防止水污染的方法来判断．</w:t>
      </w:r>
      <w:r>
        <w:br/>
      </w:r>
      <w:r>
        <w:t>通过回答本题知道了防止水污染的方法，平时要做到不污染水源，并且节约用水．</w:t>
      </w:r>
    </w:p>
    <w:p>
      <w:pPr>
        <w:pStyle w:val="BodyText"/>
      </w:pPr>
      <w:r>
        <w:br/>
      </w:r>
      <w:r>
        <w:t>4、 正确的化学实验操作对实验结果、人身安全都非常重要．在下图所示实验操作中，正确的是 （　　）</w:t>
      </w:r>
    </w:p>
    <w:tbl>
      <w:tblPr>
        <w:tblStyle w:val="HostTable-Borderless"/>
        <w:tblW w:w="5000" w:type="pct"/>
        <w:tblInd w:w="0" w:type="dxa"/>
        <w:tblCellMar>
          <w:top w:w="0" w:type="dxa"/>
          <w:left w:w="0" w:type="dxa"/>
          <w:bottom w:w="0" w:type="dxa"/>
          <w:right w:w="0" w:type="dxa"/>
        </w:tblCellMar>
      </w:tblPr>
      <w:tblGrid>
        <w:gridCol w:w="2009"/>
        <w:gridCol w:w="2010"/>
        <w:gridCol w:w="3102"/>
        <w:gridCol w:w="2965"/>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567690" cy="1049020"/>
                  <wp:effectExtent l="0" t="0" r="0" b="0"/>
                  <wp:docPr id="208782140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594577" name="Picture"/>
                          <pic:cNvPicPr>
                            <a:picLocks noChangeAspect="1" noChangeArrowheads="1"/>
                          </pic:cNvPicPr>
                        </pic:nvPicPr>
                        <pic:blipFill>
                          <a:blip xmlns:r="http://schemas.openxmlformats.org/officeDocument/2006/relationships" r:embed="rId10"/>
                          <a:stretch>
                            <a:fillRect/>
                          </a:stretch>
                        </pic:blipFill>
                        <pic:spPr>
                          <a:xfrm>
                            <a:off x="0" y="0"/>
                            <a:ext cx="567890" cy="1049153"/>
                          </a:xfrm>
                          <a:prstGeom prst="rect">
                            <a:avLst/>
                          </a:prstGeom>
                          <a:noFill/>
                          <a:ln w="9525">
                            <a:noFill/>
                          </a:ln>
                        </pic:spPr>
                      </pic:pic>
                    </a:graphicData>
                  </a:graphic>
                </wp:inline>
              </w:drawing>
            </w:r>
            <w:r>
              <w:br/>
            </w:r>
            <w:r>
              <w:t>闻气体气味</w:t>
            </w:r>
          </w:p>
        </w:tc>
        <w:tc>
          <w:tcPr/>
          <w:p>
            <w:pPr>
              <w:pStyle w:val="Compact"/>
              <w:jc w:val="left"/>
            </w:pPr>
            <w:r>
              <w:t>B.</w:t>
            </w:r>
            <w:r>
              <w:drawing>
                <wp:inline distT="0" distB="0" distL="114300" distR="114300">
                  <wp:extent cx="577215" cy="1087120"/>
                  <wp:effectExtent l="0" t="0" r="0" b="0"/>
                  <wp:docPr id="66704280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316703" name="Picture"/>
                          <pic:cNvPicPr>
                            <a:picLocks noChangeAspect="1" noChangeArrowheads="1"/>
                          </pic:cNvPicPr>
                        </pic:nvPicPr>
                        <pic:blipFill>
                          <a:blip xmlns:r="http://schemas.openxmlformats.org/officeDocument/2006/relationships" r:embed="rId11"/>
                          <a:stretch>
                            <a:fillRect/>
                          </a:stretch>
                        </pic:blipFill>
                        <pic:spPr>
                          <a:xfrm>
                            <a:off x="0" y="0"/>
                            <a:ext cx="577515" cy="1087654"/>
                          </a:xfrm>
                          <a:prstGeom prst="rect">
                            <a:avLst/>
                          </a:prstGeom>
                          <a:noFill/>
                          <a:ln w="9525">
                            <a:noFill/>
                          </a:ln>
                        </pic:spPr>
                      </pic:pic>
                    </a:graphicData>
                  </a:graphic>
                </wp:inline>
              </w:drawing>
            </w:r>
            <w:r>
              <w:t> </w:t>
            </w:r>
            <w:r>
              <w:br/>
            </w:r>
            <w:r>
              <w:t>移走蒸发皿</w:t>
            </w:r>
          </w:p>
        </w:tc>
        <w:tc>
          <w:tcPr/>
          <w:p>
            <w:pPr>
              <w:pStyle w:val="Compact"/>
              <w:jc w:val="left"/>
            </w:pPr>
            <w:r>
              <w:t>C.</w:t>
            </w:r>
            <w:r>
              <w:drawing>
                <wp:inline distT="0" distB="0" distL="114300" distR="114300">
                  <wp:extent cx="1058545" cy="933450"/>
                  <wp:effectExtent l="0" t="0" r="0" b="0"/>
                  <wp:docPr id="3030368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261372" name="Picture"/>
                          <pic:cNvPicPr>
                            <a:picLocks noChangeAspect="1" noChangeArrowheads="1"/>
                          </pic:cNvPicPr>
                        </pic:nvPicPr>
                        <pic:blipFill>
                          <a:blip xmlns:r="http://schemas.openxmlformats.org/officeDocument/2006/relationships" r:embed="rId12"/>
                          <a:stretch>
                            <a:fillRect/>
                          </a:stretch>
                        </pic:blipFill>
                        <pic:spPr>
                          <a:xfrm>
                            <a:off x="0" y="0"/>
                            <a:ext cx="1058778" cy="933650"/>
                          </a:xfrm>
                          <a:prstGeom prst="rect">
                            <a:avLst/>
                          </a:prstGeom>
                          <a:noFill/>
                          <a:ln w="9525">
                            <a:noFill/>
                          </a:ln>
                        </pic:spPr>
                      </pic:pic>
                    </a:graphicData>
                  </a:graphic>
                </wp:inline>
              </w:drawing>
            </w:r>
            <w:r>
              <w:br/>
            </w:r>
            <w:r>
              <w:t>   倾倒液体</w:t>
            </w:r>
          </w:p>
        </w:tc>
        <w:tc>
          <w:tcPr/>
          <w:p>
            <w:pPr>
              <w:pStyle w:val="Compact"/>
              <w:jc w:val="left"/>
            </w:pPr>
            <w:r>
              <w:t>D.</w:t>
            </w:r>
            <w:r>
              <w:drawing>
                <wp:inline distT="0" distB="0" distL="114300" distR="114300">
                  <wp:extent cx="991235" cy="962025"/>
                  <wp:effectExtent l="0" t="0" r="0" b="0"/>
                  <wp:docPr id="192054324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512943" name="Picture"/>
                          <pic:cNvPicPr>
                            <a:picLocks noChangeAspect="1" noChangeArrowheads="1"/>
                          </pic:cNvPicPr>
                        </pic:nvPicPr>
                        <pic:blipFill>
                          <a:blip xmlns:r="http://schemas.openxmlformats.org/officeDocument/2006/relationships" r:embed="rId13"/>
                          <a:stretch>
                            <a:fillRect/>
                          </a:stretch>
                        </pic:blipFill>
                        <pic:spPr>
                          <a:xfrm>
                            <a:off x="0" y="0"/>
                            <a:ext cx="991402" cy="962526"/>
                          </a:xfrm>
                          <a:prstGeom prst="rect">
                            <a:avLst/>
                          </a:prstGeom>
                          <a:noFill/>
                          <a:ln w="9525">
                            <a:noFill/>
                          </a:ln>
                        </pic:spPr>
                      </pic:pic>
                    </a:graphicData>
                  </a:graphic>
                </wp:inline>
              </w:drawing>
            </w:r>
            <w:r>
              <w:br/>
            </w:r>
            <w:r>
              <w:t>   稀释浓硫酸</w:t>
            </w:r>
          </w:p>
        </w:tc>
      </w:tr>
    </w:tbl>
    <w:p>
      <w:pPr>
        <w:pStyle w:val="BodyText"/>
      </w:pPr>
      <w:r>
        <w:t>【 答 案 】</w:t>
      </w:r>
    </w:p>
    <w:p>
      <w:pPr>
        <w:pStyle w:val="BodyText"/>
      </w:pPr>
      <w:r>
        <w:t>C</w:t>
      </w:r>
    </w:p>
    <w:p>
      <w:pPr>
        <w:pStyle w:val="BodyText"/>
      </w:pPr>
      <w:r>
        <w:t>【 解析 】</w:t>
      </w:r>
    </w:p>
    <w:p>
      <w:pPr>
        <w:pStyle w:val="BodyText"/>
      </w:pPr>
      <w:r>
        <w:t>解：A、闻气体的气味时，应用手在瓶口轻轻的扇动，使极少量的气体飘进鼻子中，不能将鼻子凑到集气瓶口去闻气体的气味，图中所示操作错误。</w:t>
      </w:r>
      <w:r>
        <w:br/>
      </w:r>
      <w:r>
        <w:t>B、正在加热的蒸发皿温度较高，为防止烫伤手，不能用手直接拿热的蒸发皿，应用坩埚钳夹取，图中所示操作错误。</w:t>
      </w:r>
      <w:r>
        <w:br/>
      </w:r>
      <w:r>
        <w:t>C、向试管中倾倒液体药品时，瓶塞要倒放，标签要对准手心，瓶口紧挨，图中所示操作正确。</w:t>
      </w:r>
      <w:r>
        <w:br/>
      </w:r>
      <w:r>
        <w:t>D、稀释浓硫酸时，要把浓硫酸缓缓地沿器壁注入水中，同时用玻璃棒不断搅拌，以使热量及时地扩散；一定不能把水注入浓硫酸中；图中所示操作错误。</w:t>
      </w:r>
      <w:r>
        <w:br/>
      </w:r>
      <w:r>
        <w:t>故选：C。</w:t>
      </w:r>
      <w:r>
        <w:br/>
      </w:r>
      <w:r>
        <w:t>A、根据闻气体的气味时的方法（招气入鼻法）进行分析判断．</w:t>
      </w:r>
      <w:r>
        <w:br/>
      </w:r>
      <w:r>
        <w:t>B、根据蒸发操作的注意事项进行分析判断即可．</w:t>
      </w:r>
      <w:r>
        <w:br/>
      </w:r>
      <w:r>
        <w:t>C、根据向试管中倾倒液体药品的方法进行分析判断．</w:t>
      </w:r>
      <w:r>
        <w:br/>
      </w:r>
      <w:r>
        <w:t>D、根据浓硫酸的稀释方法进行分析判断．</w:t>
      </w:r>
      <w:r>
        <w:br/>
      </w:r>
      <w:r>
        <w:t>本题难度不大，熟悉各种仪器的用途及使用注意事项、常见化学实验基本操作的注意事项是解答此类试题的关键．</w:t>
      </w:r>
    </w:p>
    <w:p>
      <w:pPr>
        <w:pStyle w:val="BodyText"/>
      </w:pPr>
      <w:r>
        <w:br/>
      </w:r>
      <w:r>
        <w:t>5、 下列实验现象和对应的结论描述都正确的是（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A.在某固体中滴加稀盐酸，有气泡产生一一该固体一定是碳酸盐</w:t>
            </w:r>
          </w:p>
        </w:tc>
      </w:tr>
      <w:tr>
        <w:tblPrEx>
          <w:tblW w:w="5000" w:type="pct"/>
          <w:tblInd w:w="0" w:type="dxa"/>
          <w:tblCellMar>
            <w:top w:w="0" w:type="dxa"/>
            <w:left w:w="0" w:type="dxa"/>
            <w:bottom w:w="0" w:type="dxa"/>
            <w:right w:w="0" w:type="dxa"/>
          </w:tblCellMar>
        </w:tblPrEx>
        <w:tc>
          <w:tcPr/>
          <w:p>
            <w:pPr>
              <w:pStyle w:val="Compact"/>
              <w:jc w:val="left"/>
            </w:pPr>
            <w:r>
              <w:t>B.生石灰块投入水中，水会沸腾--生石灰变成熟石灰的过程是放热反应</w:t>
            </w:r>
          </w:p>
        </w:tc>
      </w:tr>
      <w:tr>
        <w:tblPrEx>
          <w:tblW w:w="5000" w:type="pct"/>
          <w:tblInd w:w="0" w:type="dxa"/>
          <w:tblCellMar>
            <w:top w:w="0" w:type="dxa"/>
            <w:left w:w="0" w:type="dxa"/>
            <w:bottom w:w="0" w:type="dxa"/>
            <w:right w:w="0" w:type="dxa"/>
          </w:tblCellMar>
        </w:tblPrEx>
        <w:tc>
          <w:tcPr/>
          <w:p>
            <w:pPr>
              <w:pStyle w:val="Compact"/>
              <w:jc w:val="left"/>
            </w:pPr>
            <w:r>
              <w:t>C.在无色溶液中滴入酚酞试液，溶液变红--该溶液一定是碱溶液</w:t>
            </w:r>
          </w:p>
        </w:tc>
      </w:tr>
      <w:tr>
        <w:tblPrEx>
          <w:tblW w:w="5000" w:type="pct"/>
          <w:tblInd w:w="0" w:type="dxa"/>
          <w:tblCellMar>
            <w:top w:w="0" w:type="dxa"/>
            <w:left w:w="0" w:type="dxa"/>
            <w:bottom w:w="0" w:type="dxa"/>
            <w:right w:w="0" w:type="dxa"/>
          </w:tblCellMar>
        </w:tblPrEx>
        <w:tc>
          <w:tcPr/>
          <w:p>
            <w:pPr>
              <w:pStyle w:val="Compact"/>
              <w:jc w:val="left"/>
            </w:pPr>
            <w:r>
              <w:t>D.将燃着的木条伸入到集气瓶中，木条熄灭--该气体一定是二氧化碳</w:t>
            </w:r>
          </w:p>
        </w:tc>
      </w:tr>
    </w:tbl>
    <w:p>
      <w:pPr>
        <w:pStyle w:val="BodyText"/>
      </w:pPr>
      <w:r>
        <w:t>【 答 案 】</w:t>
      </w:r>
    </w:p>
    <w:p>
      <w:pPr>
        <w:pStyle w:val="BodyText"/>
      </w:pPr>
      <w:r>
        <w:t>B</w:t>
      </w:r>
    </w:p>
    <w:p>
      <w:pPr>
        <w:pStyle w:val="BodyText"/>
      </w:pPr>
      <w:r>
        <w:t>【 解析 】</w:t>
      </w:r>
    </w:p>
    <w:p>
      <w:pPr>
        <w:pStyle w:val="BodyText"/>
      </w:pPr>
      <w:r>
        <w:t>解：A、碳酸盐与酸反应放出气体，但与酸反应放出气体的物质不一定是碳酸盐，也可能是活泼金属等，故选项说法错误。</w:t>
      </w:r>
      <w:r>
        <w:br/>
      </w:r>
      <w:r>
        <w:t>B、生石灰块投入水中，水会沸腾，是因为生石灰变成熟石灰的过程是放热反应，故选项说法正确。</w:t>
      </w:r>
      <w:r>
        <w:br/>
      </w:r>
      <w:r>
        <w:t>C、在无色溶液中滴入酚酞试液，溶液变红，该溶液不一定是碱溶液，也可能是碳酸钠等盐溶液，故选项说法错误。</w:t>
      </w:r>
      <w:r>
        <w:br/>
      </w:r>
      <w:r>
        <w:t>D、将燃着的木条伸入到集气瓶中，木条熄灭，说明气体不能燃烧、不能支持燃烧，该气体不一定是二氧化碳，也可能是氮气等，故选项说法错误。</w:t>
      </w:r>
      <w:r>
        <w:br/>
      </w:r>
      <w:r>
        <w:t>故选：B。</w:t>
      </w:r>
      <w:r>
        <w:br/>
      </w:r>
      <w:r>
        <w:t>A、根据酸能与活泼金属、碳酸盐等反应生成气体，进行分析判断。</w:t>
      </w:r>
      <w:r>
        <w:br/>
      </w:r>
      <w:r>
        <w:t>B、根据生石灰与水反应属于放热反应，进行分析判断。</w:t>
      </w:r>
      <w:r>
        <w:br/>
      </w:r>
      <w:r>
        <w:t>C、无色酚酞溶液遇酸性溶液不变色，遇碱性溶液变红。</w:t>
      </w:r>
      <w:r>
        <w:br/>
      </w:r>
      <w:r>
        <w:t>D、将燃着的木条伸入到集气瓶中，木条熄灭，说明气体不能燃烧、不能支持燃烧，进行分析判断。</w:t>
      </w:r>
      <w:r>
        <w:br/>
      </w:r>
      <w:r>
        <w:t>本题难度不大，掌握酸的化学性质、显碱性的不一定是碱溶液、生石灰与水反应属于放热反应等是正确解答本题的关键。</w:t>
      </w:r>
    </w:p>
    <w:p>
      <w:pPr>
        <w:pStyle w:val="BodyText"/>
      </w:pPr>
      <w:r>
        <w:br/>
      </w:r>
      <w:r>
        <w:t>6、 下列主题知识的归纳中，正确的一组是（　　）</w:t>
      </w:r>
      <w:r>
        <w:br/>
      </w:r>
    </w:p>
    <w:tbl>
      <w:tblPr>
        <w:tblStyle w:val="HostTable-Borderless"/>
        <w:tblW w:w="5000" w:type="pct"/>
        <w:tblInd w:w="0" w:type="dxa"/>
        <w:tblCellMar>
          <w:top w:w="0" w:type="dxa"/>
          <w:left w:w="0" w:type="dxa"/>
          <w:bottom w:w="0" w:type="dxa"/>
          <w:right w:w="0" w:type="dxa"/>
        </w:tblCellMar>
      </w:tblPr>
      <w:tblGrid>
        <w:gridCol w:w="2958"/>
        <w:gridCol w:w="2906"/>
        <w:gridCol w:w="1964"/>
        <w:gridCol w:w="2258"/>
      </w:tblGrid>
      <w:tr>
        <w:tblPrEx>
          <w:tblW w:w="5000" w:type="pct"/>
          <w:tblInd w:w="0" w:type="dxa"/>
          <w:tblCellMar>
            <w:top w:w="0" w:type="dxa"/>
            <w:left w:w="0" w:type="dxa"/>
            <w:bottom w:w="0" w:type="dxa"/>
            <w:right w:w="0" w:type="dxa"/>
          </w:tblCellMar>
        </w:tblPrEx>
        <w:tc>
          <w:tcPr>
            <w:gridSpan w:val="2"/>
          </w:tcPr>
          <w:p>
            <w:pPr>
              <w:pStyle w:val="Compact"/>
              <w:jc w:val="center"/>
            </w:pPr>
            <w:r>
              <w:t>A．生活常识</w:t>
            </w:r>
          </w:p>
        </w:tc>
        <w:tc>
          <w:tcPr>
            <w:gridSpan w:val="2"/>
          </w:tcPr>
          <w:p>
            <w:pPr>
              <w:pStyle w:val="Compact"/>
              <w:jc w:val="center"/>
            </w:pPr>
            <w:r>
              <w:t>B．安全常识</w:t>
            </w:r>
          </w:p>
        </w:tc>
      </w:tr>
      <w:tr>
        <w:tblPrEx>
          <w:tblW w:w="5000" w:type="pct"/>
          <w:tblInd w:w="0" w:type="dxa"/>
          <w:tblCellMar>
            <w:top w:w="0" w:type="dxa"/>
            <w:left w:w="0" w:type="dxa"/>
            <w:bottom w:w="0" w:type="dxa"/>
            <w:right w:w="0" w:type="dxa"/>
          </w:tblCellMar>
        </w:tblPrEx>
        <w:tc>
          <w:tcPr>
            <w:gridSpan w:val="2"/>
          </w:tcPr>
          <w:p>
            <w:pPr>
              <w:pStyle w:val="Compact"/>
              <w:jc w:val="center"/>
            </w:pPr>
            <w:r>
              <w:t>用铁锅烹调食物→防止佝偻病</w:t>
            </w:r>
            <w:r>
              <w:br/>
            </w:r>
            <w:r>
              <w:t>蛋白质摄入过少→使人生长发育迟缓等</w:t>
            </w:r>
          </w:p>
        </w:tc>
        <w:tc>
          <w:tcPr>
            <w:gridSpan w:val="2"/>
          </w:tcPr>
          <w:p>
            <w:pPr>
              <w:pStyle w:val="Compact"/>
              <w:jc w:val="center"/>
            </w:pPr>
            <w:r>
              <w:t>煤气泄漏→先打开排气扇</w:t>
            </w:r>
            <w:r>
              <w:br/>
            </w:r>
            <w:r>
              <w:t>海鲜防腐→甲醛溶液浸泡</w:t>
            </w:r>
          </w:p>
        </w:tc>
      </w:tr>
      <w:tr>
        <w:tblPrEx>
          <w:tblW w:w="5000" w:type="pct"/>
          <w:tblInd w:w="0" w:type="dxa"/>
          <w:tblCellMar>
            <w:top w:w="0" w:type="dxa"/>
            <w:left w:w="0" w:type="dxa"/>
            <w:bottom w:w="0" w:type="dxa"/>
            <w:right w:w="0" w:type="dxa"/>
          </w:tblCellMar>
        </w:tblPrEx>
        <w:tc>
          <w:tcPr>
            <w:gridSpan w:val="2"/>
          </w:tcPr>
          <w:p>
            <w:pPr>
              <w:pStyle w:val="Compact"/>
              <w:jc w:val="center"/>
            </w:pPr>
            <w:r>
              <w:t>C．环保知识</w:t>
            </w:r>
          </w:p>
        </w:tc>
        <w:tc>
          <w:tcPr>
            <w:gridSpan w:val="2"/>
          </w:tcPr>
          <w:p>
            <w:pPr>
              <w:pStyle w:val="Compact"/>
              <w:jc w:val="center"/>
            </w:pPr>
            <w:r>
              <w:t>D．物质鉴别</w:t>
            </w:r>
          </w:p>
        </w:tc>
      </w:tr>
      <w:tr>
        <w:tblPrEx>
          <w:tblW w:w="5000" w:type="pct"/>
          <w:tblInd w:w="0" w:type="dxa"/>
          <w:tblCellMar>
            <w:top w:w="0" w:type="dxa"/>
            <w:left w:w="0" w:type="dxa"/>
            <w:bottom w:w="0" w:type="dxa"/>
            <w:right w:w="0" w:type="dxa"/>
          </w:tblCellMar>
        </w:tblPrEx>
        <w:tc>
          <w:tcPr>
            <w:gridSpan w:val="2"/>
          </w:tcPr>
          <w:p>
            <w:pPr>
              <w:pStyle w:val="Compact"/>
              <w:jc w:val="center"/>
            </w:pPr>
            <w:r>
              <w:t>臭氧层空洞→温室效应</w:t>
            </w:r>
            <w:r>
              <w:br/>
            </w:r>
            <w:r>
              <w:t>过度施用农药、化肥→水污染和土壤板结</w:t>
            </w:r>
          </w:p>
        </w:tc>
        <w:tc>
          <w:tcPr>
            <w:gridSpan w:val="2"/>
          </w:tcPr>
          <w:p>
            <w:pPr>
              <w:pStyle w:val="Compact"/>
              <w:jc w:val="center"/>
            </w:pPr>
            <w:r>
              <w:t>硬水和软水→加肥皂水并搅拌</w:t>
            </w:r>
            <w:r>
              <w:br/>
            </w:r>
            <w:r>
              <w:t>羊毛和化纤→点燃后闻气味</w:t>
            </w:r>
          </w:p>
        </w:tc>
      </w:tr>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解：A、铁是合成血红蛋白的主要成分，缺乏会患贫血，用铁锅烹调食物可防止贫血；蛋白质摄入过少会使人生长发育迟缓，故A错误。</w:t>
      </w:r>
      <w:r>
        <w:br/>
      </w:r>
      <w:r>
        <w:t>B、煤气与空气的混合气体遇电火花可能发生爆炸，打开排气扇时会产生电火花，煤气泄漏打开排气扇易发生爆炸；甲醛有毒，食用甲醛溶液浸泡的海鲜对人体有害，故B错误。</w:t>
      </w:r>
      <w:r>
        <w:br/>
      </w:r>
      <w:r>
        <w:t>C、臭氧层空洞是氟利昂等排放造成的，二氧化碳含量过多能导致温室效应而不是臭氧层空洞；过度施用农药、化肥，会造成水污染和土壤板结；故C错误。</w:t>
      </w:r>
      <w:r>
        <w:br/>
      </w:r>
      <w:r>
        <w:t>D、点燃时蚕丝布料有烧焦羽毛的气味，而化纤布料没有；分别向硬水和软水加肥皂水，气泡较多的是软水，故D正确。</w:t>
      </w:r>
      <w:r>
        <w:br/>
      </w:r>
      <w:r>
        <w:t>故选：D。</w:t>
      </w:r>
      <w:r>
        <w:br/>
      </w:r>
      <w:r>
        <w:t>A、根据铁和蛋白质的生理作用及缺乏症判断。</w:t>
      </w:r>
      <w:r>
        <w:br/>
      </w:r>
      <w:r>
        <w:t>B、根据煤气与空气的混合气体遇电火花可能发生爆炸，以及甲醛有毒判断。</w:t>
      </w:r>
      <w:r>
        <w:br/>
      </w:r>
      <w:r>
        <w:t>C、根据臭氧层空洞的形成原因与过度施用农药、化肥的危害，进行分析判断。</w:t>
      </w:r>
      <w:r>
        <w:br/>
      </w:r>
      <w:r>
        <w:t>D、根据根据蛋白质、硬水和软水的性质判断。</w:t>
      </w:r>
      <w:r>
        <w:br/>
      </w:r>
      <w:r>
        <w:t>化学来源于生产、生活，又服务于生产、生活，因而与生产、生活相关的化学知识，即可以指导人的实践活动，也是知识考查的重点，特别是关于化学元素或营养素对人体健康的影响，食品、饮水安全，农药化肥的施用，材料的分类、使用情况，环境污染等，更是中考不可或缺的角色。</w:t>
      </w:r>
    </w:p>
    <w:p>
      <w:pPr>
        <w:pStyle w:val="BodyText"/>
      </w:pPr>
      <w:r>
        <w:br/>
      </w:r>
      <w:r>
        <w:t>7、现有甲、乙、丙三种金属，如果把甲和乙分别放入稀硫酸中，甲溶解并产生氢气，乙不反应．如果把乙和丙分别放入硝酸银溶液中，过一会儿，在乙表面有银析出，而丙没有变化．根据以上实验事实，甲、乙、丙的金属活动性顺序正确的是（　　）</w:t>
      </w:r>
    </w:p>
    <w:tbl>
      <w:tblPr>
        <w:tblStyle w:val="HostTable-Borderless"/>
        <w:tblW w:w="5000" w:type="pct"/>
        <w:tblInd w:w="0" w:type="dxa"/>
        <w:tblCellMar>
          <w:top w:w="0" w:type="dxa"/>
          <w:left w:w="0" w:type="dxa"/>
          <w:bottom w:w="0" w:type="dxa"/>
          <w:right w:w="0" w:type="dxa"/>
        </w:tblCellMar>
      </w:tblPr>
      <w:tblGrid>
        <w:gridCol w:w="2525"/>
        <w:gridCol w:w="2519"/>
        <w:gridCol w:w="2499"/>
        <w:gridCol w:w="2543"/>
      </w:tblGrid>
      <w:tr>
        <w:tblPrEx>
          <w:tblW w:w="5000" w:type="pct"/>
          <w:tblInd w:w="0" w:type="dxa"/>
          <w:tblCellMar>
            <w:top w:w="0" w:type="dxa"/>
            <w:left w:w="0" w:type="dxa"/>
            <w:bottom w:w="0" w:type="dxa"/>
            <w:right w:w="0" w:type="dxa"/>
          </w:tblCellMar>
        </w:tblPrEx>
        <w:tc>
          <w:tcPr/>
          <w:p>
            <w:pPr>
              <w:pStyle w:val="Compact"/>
              <w:jc w:val="left"/>
            </w:pPr>
            <w:r>
              <w:t>A.甲＞乙＞丙</w:t>
            </w:r>
          </w:p>
        </w:tc>
        <w:tc>
          <w:tcPr/>
          <w:p>
            <w:pPr>
              <w:pStyle w:val="Compact"/>
              <w:jc w:val="left"/>
            </w:pPr>
            <w:r>
              <w:t>B.甲＞丙＞乙</w:t>
            </w:r>
          </w:p>
        </w:tc>
        <w:tc>
          <w:tcPr/>
          <w:p>
            <w:pPr>
              <w:pStyle w:val="Compact"/>
              <w:jc w:val="left"/>
            </w:pPr>
            <w:r>
              <w:t>C.丙＞甲＞乙</w:t>
            </w:r>
          </w:p>
        </w:tc>
        <w:tc>
          <w:tcPr/>
          <w:p>
            <w:pPr>
              <w:pStyle w:val="Compact"/>
              <w:jc w:val="left"/>
            </w:pPr>
            <w:r>
              <w:t>D.乙＞丙＞甲</w:t>
            </w:r>
          </w:p>
        </w:tc>
      </w:tr>
    </w:tbl>
    <w:p>
      <w:pPr>
        <w:pStyle w:val="BodyText"/>
      </w:pPr>
      <w:r>
        <w:t>【 答 案 】</w:t>
      </w:r>
    </w:p>
    <w:p>
      <w:pPr>
        <w:pStyle w:val="BodyText"/>
      </w:pPr>
      <w:r>
        <w:t>A</w:t>
      </w:r>
    </w:p>
    <w:p>
      <w:pPr>
        <w:pStyle w:val="BodyText"/>
      </w:pPr>
      <w:r>
        <w:t>【 解析 】</w:t>
      </w:r>
    </w:p>
    <w:p>
      <w:pPr>
        <w:pStyle w:val="BodyText"/>
      </w:pPr>
      <w:r>
        <w:t>解：由题意可知，把甲和乙分别放入稀硫酸中，甲溶解并产生氢气，而乙不反应，说明甲＞H＞乙，把乙和丙分别放入硝酸银溶液中，过一会儿，在乙 表面有银析出，而丙没有变化，说明乙＞Ag＞丙，所以甲、乙、丙的活动性为甲＞乙＞丙。所以。A正确，B、C、D错误。</w:t>
      </w:r>
      <w:r>
        <w:br/>
      </w:r>
      <w:r>
        <w:t>故选：A。</w:t>
      </w:r>
      <w:r>
        <w:br/>
      </w:r>
      <w:r>
        <w:t>根据金属活动性顺序的意义进行分析，在金属活动性顺序中，氢前的金属能与酸发生置换反应生成氢气，位置在前的金属能将位于其后的金属从其盐溶液中置换出来．</w:t>
      </w:r>
      <w:r>
        <w:br/>
      </w:r>
      <w:r>
        <w:t>本题考查了金属活动性顺序的应用，完成此题，可以依据金属活动性顺序及其意义进行．</w:t>
      </w:r>
    </w:p>
    <w:p>
      <w:pPr>
        <w:pStyle w:val="BodyText"/>
      </w:pPr>
      <w:r>
        <w:br/>
      </w:r>
      <w:r>
        <w:t>8、 化学兴趣小组的同学复习元素及其化合物知识以后，互相交流自己的学习体会，下面是四位同学的发言，你认为其中有错误的是（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A.碳能形成多种单质，如：金刚石、石墨、C</w:t>
            </w:r>
            <w:r>
              <w:rPr>
                <w:vertAlign w:val="subscript"/>
              </w:rPr>
              <w:t>60</w:t>
            </w:r>
            <w:r>
              <w:t>等</w:t>
            </w:r>
          </w:p>
        </w:tc>
      </w:tr>
      <w:tr>
        <w:tblPrEx>
          <w:tblW w:w="5000" w:type="pct"/>
          <w:tblInd w:w="0" w:type="dxa"/>
          <w:tblCellMar>
            <w:top w:w="0" w:type="dxa"/>
            <w:left w:w="0" w:type="dxa"/>
            <w:bottom w:w="0" w:type="dxa"/>
            <w:right w:w="0" w:type="dxa"/>
          </w:tblCellMar>
        </w:tblPrEx>
        <w:tc>
          <w:tcPr/>
          <w:p>
            <w:pPr>
              <w:pStyle w:val="Compact"/>
              <w:jc w:val="left"/>
            </w:pPr>
            <w:r>
              <w:t>B.SO</w:t>
            </w:r>
            <w:r>
              <w:rPr>
                <w:vertAlign w:val="subscript"/>
              </w:rPr>
              <w:t>2</w:t>
            </w:r>
            <w:r>
              <w:t>、CO</w:t>
            </w:r>
            <w:r>
              <w:rPr>
                <w:vertAlign w:val="subscript"/>
              </w:rPr>
              <w:t>2</w:t>
            </w:r>
            <w:r>
              <w:t>、CO都是非金属氧化物，都可用氢氧化钠溶液吸收</w:t>
            </w:r>
          </w:p>
        </w:tc>
      </w:tr>
      <w:tr>
        <w:tblPrEx>
          <w:tblW w:w="5000" w:type="pct"/>
          <w:tblInd w:w="0" w:type="dxa"/>
          <w:tblCellMar>
            <w:top w:w="0" w:type="dxa"/>
            <w:left w:w="0" w:type="dxa"/>
            <w:bottom w:w="0" w:type="dxa"/>
            <w:right w:w="0" w:type="dxa"/>
          </w:tblCellMar>
        </w:tblPrEx>
        <w:tc>
          <w:tcPr/>
          <w:p>
            <w:pPr>
              <w:pStyle w:val="Compact"/>
              <w:jc w:val="left"/>
            </w:pPr>
            <w:r>
              <w:t>C.CO、H</w:t>
            </w:r>
            <w:r>
              <w:rPr>
                <w:vertAlign w:val="subscript"/>
              </w:rPr>
              <w:t>2</w:t>
            </w:r>
            <w:r>
              <w:t>、CH</w:t>
            </w:r>
            <w:r>
              <w:rPr>
                <w:vertAlign w:val="subscript"/>
              </w:rPr>
              <w:t>4</w:t>
            </w:r>
            <w:r>
              <w:t>、C</w:t>
            </w:r>
            <w:r>
              <w:rPr>
                <w:vertAlign w:val="subscript"/>
              </w:rPr>
              <w:t>2</w:t>
            </w:r>
            <w:r>
              <w:t>H</w:t>
            </w:r>
            <w:r>
              <w:rPr>
                <w:vertAlign w:val="subscript"/>
              </w:rPr>
              <w:t>5</w:t>
            </w:r>
            <w:r>
              <w:t>OH均可作为燃料使用</w:t>
            </w:r>
          </w:p>
        </w:tc>
      </w:tr>
      <w:tr>
        <w:tblPrEx>
          <w:tblW w:w="5000" w:type="pct"/>
          <w:tblInd w:w="0" w:type="dxa"/>
          <w:tblCellMar>
            <w:top w:w="0" w:type="dxa"/>
            <w:left w:w="0" w:type="dxa"/>
            <w:bottom w:w="0" w:type="dxa"/>
            <w:right w:w="0" w:type="dxa"/>
          </w:tblCellMar>
        </w:tblPrEx>
        <w:tc>
          <w:tcPr/>
          <w:p>
            <w:pPr>
              <w:pStyle w:val="Compact"/>
              <w:jc w:val="left"/>
            </w:pPr>
            <w:r>
              <w:t>D.盐酸、稀硫酸化学性质相似，都能使指示剂变色，与活泼金属反应放出氢气，与金属氧化物作用生成盐和水</w:t>
            </w:r>
          </w:p>
        </w:tc>
      </w:tr>
    </w:tbl>
    <w:p>
      <w:pPr>
        <w:pStyle w:val="BodyText"/>
      </w:pPr>
      <w:r>
        <w:t>【 答 案 】</w:t>
      </w:r>
    </w:p>
    <w:p>
      <w:pPr>
        <w:pStyle w:val="BodyText"/>
      </w:pPr>
      <w:r>
        <w:t>B</w:t>
      </w:r>
    </w:p>
    <w:p>
      <w:pPr>
        <w:pStyle w:val="BodyText"/>
      </w:pPr>
      <w:r>
        <w:t>【 解析 】</w:t>
      </w:r>
    </w:p>
    <w:p>
      <w:pPr>
        <w:pStyle w:val="BodyText"/>
      </w:pPr>
      <w:r>
        <w:t>解：A、碳能形成多种单质，它们都碳的同素异形体，如金刚石、石墨、C</w:t>
      </w:r>
      <w:r>
        <w:rPr>
          <w:vertAlign w:val="subscript"/>
        </w:rPr>
        <w:t>60</w:t>
      </w:r>
      <w:r>
        <w:t>等，所以正确。</w:t>
      </w:r>
      <w:r>
        <w:br/>
      </w:r>
      <w:r>
        <w:t>B、氧化物是指由两种元素组成的且其中一种是氧元素的化合物，SO</w:t>
      </w:r>
      <w:r>
        <w:rPr>
          <w:vertAlign w:val="subscript"/>
        </w:rPr>
        <w:t>2</w:t>
      </w:r>
      <w:r>
        <w:t>、CO</w:t>
      </w:r>
      <w:r>
        <w:rPr>
          <w:vertAlign w:val="subscript"/>
        </w:rPr>
        <w:t>2</w:t>
      </w:r>
      <w:r>
        <w:t>、CO都是非金属氧化物，但一氧化碳不能和氢氧化钠反应，所以错误。</w:t>
      </w:r>
      <w:r>
        <w:br/>
      </w:r>
      <w:r>
        <w:t>C、CO、H</w:t>
      </w:r>
      <w:r>
        <w:rPr>
          <w:vertAlign w:val="subscript"/>
        </w:rPr>
        <w:t>2</w:t>
      </w:r>
      <w:r>
        <w:t>、CH</w:t>
      </w:r>
      <w:r>
        <w:rPr>
          <w:vertAlign w:val="subscript"/>
        </w:rPr>
        <w:t>4</w:t>
      </w:r>
      <w:r>
        <w:t>、C</w:t>
      </w:r>
      <w:r>
        <w:rPr>
          <w:vertAlign w:val="subscript"/>
        </w:rPr>
        <w:t>2</w:t>
      </w:r>
      <w:r>
        <w:t>H</w:t>
      </w:r>
      <w:r>
        <w:rPr>
          <w:vertAlign w:val="subscript"/>
        </w:rPr>
        <w:t>5</w:t>
      </w:r>
      <w:r>
        <w:t>OH都具有可燃性，能燃烧放热，均可作为燃料使用，所以正确。</w:t>
      </w:r>
      <w:r>
        <w:br/>
      </w:r>
      <w:r>
        <w:t>D、盐酸、稀硫酸都属于强酸，化学性质相似，都能使指示剂变色，都能与活泼金属反应放出氢气，都能与金属氧化物作用生成盐和水，所以正确。</w:t>
      </w:r>
      <w:r>
        <w:br/>
      </w:r>
      <w:r>
        <w:t>故选：B。</w:t>
      </w:r>
      <w:r>
        <w:br/>
      </w:r>
      <w:r>
        <w:t>A、根据碳单质的常见种类判断．</w:t>
      </w:r>
      <w:r>
        <w:br/>
      </w:r>
      <w:r>
        <w:t>B、根据氧化物的定义及化学性质判断．</w:t>
      </w:r>
      <w:r>
        <w:br/>
      </w:r>
      <w:r>
        <w:t>C、根据CO、H</w:t>
      </w:r>
      <w:r>
        <w:rPr>
          <w:vertAlign w:val="subscript"/>
        </w:rPr>
        <w:t>2</w:t>
      </w:r>
      <w:r>
        <w:t>、CH</w:t>
      </w:r>
      <w:r>
        <w:rPr>
          <w:vertAlign w:val="subscript"/>
        </w:rPr>
        <w:t>4</w:t>
      </w:r>
      <w:r>
        <w:t>、C</w:t>
      </w:r>
      <w:r>
        <w:rPr>
          <w:vertAlign w:val="subscript"/>
        </w:rPr>
        <w:t>2</w:t>
      </w:r>
      <w:r>
        <w:t>H</w:t>
      </w:r>
      <w:r>
        <w:rPr>
          <w:vertAlign w:val="subscript"/>
        </w:rPr>
        <w:t>5</w:t>
      </w:r>
      <w:r>
        <w:t>OH的可燃性判断．</w:t>
      </w:r>
      <w:r>
        <w:br/>
      </w:r>
      <w:r>
        <w:t>D、根据盐酸、稀硫酸化学性质判断．</w:t>
      </w:r>
      <w:r>
        <w:br/>
      </w:r>
      <w:r>
        <w:t>本题主要考查元素及其化合物知识，了解物质的性质和用途，以及物质的分类知识，问题可迎刃而解．</w:t>
      </w:r>
    </w:p>
    <w:p>
      <w:pPr>
        <w:pStyle w:val="BodyText"/>
      </w:pPr>
      <w:r>
        <w:br/>
      </w:r>
      <w:r>
        <w:t>9、甲、乙两种物质的溶解度曲线如图所示，下列说法中正确的是（　　）</w:t>
      </w:r>
      <w:r>
        <w:br/>
      </w:r>
      <w:r>
        <w:drawing>
          <wp:inline distT="0" distB="0" distL="114300" distR="114300">
            <wp:extent cx="1741805" cy="1588135"/>
            <wp:effectExtent l="0" t="0" r="0" b="0"/>
            <wp:docPr id="20078118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79477" name="Picture"/>
                    <pic:cNvPicPr>
                      <a:picLocks noChangeAspect="1" noChangeArrowheads="1"/>
                    </pic:cNvPicPr>
                  </pic:nvPicPr>
                  <pic:blipFill>
                    <a:blip xmlns:r="http://schemas.openxmlformats.org/officeDocument/2006/relationships" r:embed="rId14"/>
                    <a:stretch>
                      <a:fillRect/>
                    </a:stretch>
                  </pic:blipFill>
                  <pic:spPr>
                    <a:xfrm>
                      <a:off x="0" y="0"/>
                      <a:ext cx="1742172" cy="158816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639"/>
        <w:gridCol w:w="5447"/>
      </w:tblGrid>
      <w:tr>
        <w:tblPrEx>
          <w:tblW w:w="5000" w:type="pct"/>
          <w:tblInd w:w="0" w:type="dxa"/>
          <w:tblCellMar>
            <w:top w:w="0" w:type="dxa"/>
            <w:left w:w="0" w:type="dxa"/>
            <w:bottom w:w="0" w:type="dxa"/>
            <w:right w:w="0" w:type="dxa"/>
          </w:tblCellMar>
        </w:tblPrEx>
        <w:tc>
          <w:tcPr/>
          <w:p>
            <w:pPr>
              <w:pStyle w:val="Compact"/>
              <w:jc w:val="left"/>
            </w:pPr>
            <w:r>
              <w:t>A.30℃时，50g水可以溶解25g甲物质</w:t>
            </w:r>
          </w:p>
        </w:tc>
        <w:tc>
          <w:tcPr/>
          <w:p>
            <w:pPr>
              <w:pStyle w:val="Compact"/>
              <w:jc w:val="left"/>
            </w:pPr>
            <w:r>
              <w:t>B.升温能使甲物质的不饱和溶液变为饱和溶液</w:t>
            </w:r>
          </w:p>
        </w:tc>
      </w:tr>
      <w:tr>
        <w:tblPrEx>
          <w:tblW w:w="5000" w:type="pct"/>
          <w:tblInd w:w="0" w:type="dxa"/>
          <w:tblCellMar>
            <w:top w:w="0" w:type="dxa"/>
            <w:left w:w="0" w:type="dxa"/>
            <w:bottom w:w="0" w:type="dxa"/>
            <w:right w:w="0" w:type="dxa"/>
          </w:tblCellMar>
        </w:tblPrEx>
        <w:tc>
          <w:tcPr/>
          <w:p>
            <w:pPr>
              <w:pStyle w:val="Compact"/>
              <w:jc w:val="left"/>
            </w:pPr>
            <w:r>
              <w:t>C.20℃时，甲、乙两种物质的溶解度相同</w:t>
            </w:r>
          </w:p>
        </w:tc>
        <w:tc>
          <w:tcPr/>
          <w:p>
            <w:pPr>
              <w:pStyle w:val="Compact"/>
              <w:jc w:val="left"/>
            </w:pPr>
            <w:r>
              <w:t>D.30℃时，乙物质的溶解度比甲物质的溶解度大</w:t>
            </w:r>
          </w:p>
        </w:tc>
      </w:tr>
    </w:tbl>
    <w:p>
      <w:pPr>
        <w:pStyle w:val="BodyText"/>
      </w:pPr>
      <w:r>
        <w:t>【 答 案 】</w:t>
      </w:r>
    </w:p>
    <w:p>
      <w:pPr>
        <w:pStyle w:val="BodyText"/>
      </w:pPr>
      <w:r>
        <w:t>C</w:t>
      </w:r>
    </w:p>
    <w:p>
      <w:pPr>
        <w:pStyle w:val="BodyText"/>
      </w:pPr>
      <w:r>
        <w:t>【 解析 】</w:t>
      </w:r>
    </w:p>
    <w:p>
      <w:pPr>
        <w:pStyle w:val="BodyText"/>
      </w:pPr>
      <w:r>
        <w:t>解：A、据图知：30℃时，甲物质的溶解度为25g，即30℃时，100g水最多溶解甲物质25g，所以此温度下50g水最多只能溶解甲物质12.5g，故A错误；</w:t>
      </w:r>
      <w:r>
        <w:br/>
      </w:r>
      <w:r>
        <w:t>B、据图知：温度升高甲物质的溶解度变大，所以，随温度升高甲物质的不饱和溶液不能变成饱和溶液，可以说是变得更不饱和，故B错误；</w:t>
      </w:r>
      <w:r>
        <w:br/>
      </w:r>
      <w:r>
        <w:t>C、曲线图显示，在温度为20℃时两曲线相交于一点，说明此时甲、乙两物质的溶解度相等，故C正确；</w:t>
      </w:r>
      <w:r>
        <w:br/>
      </w:r>
      <w:r>
        <w:t>D、在温度为30℃时，图中乙物质曲线处于甲物质曲线下方，说明此时甲物质的溶解度大于乙物质，故D错误。</w:t>
      </w:r>
      <w:r>
        <w:br/>
      </w:r>
      <w:r>
        <w:t>故选：C。</w:t>
      </w:r>
      <w:r>
        <w:br/>
      </w:r>
      <w:r>
        <w:t>根据物质的溶解度曲线图，判断：</w:t>
      </w:r>
      <w:r>
        <w:br/>
      </w:r>
      <w:r>
        <w:t>A、一定量溶质在一定量的溶剂中是否能全部溶解；</w:t>
      </w:r>
      <w:r>
        <w:br/>
      </w:r>
      <w:r>
        <w:t>B、物质溶解度受温度影响情况；</w:t>
      </w:r>
      <w:r>
        <w:br/>
      </w:r>
      <w:r>
        <w:t>C、比较20℃时图中两物质的溶解度大小；</w:t>
      </w:r>
      <w:r>
        <w:br/>
      </w:r>
      <w:r>
        <w:t>D、比较30℃时图中两物质的溶解度大小．</w:t>
      </w:r>
      <w:r>
        <w:br/>
      </w:r>
      <w:r>
        <w:t>物质的溶解度数值可以理解为：100克水在一定温度下所能溶解溶质质量的最大值．</w:t>
      </w:r>
    </w:p>
    <w:p>
      <w:pPr>
        <w:pStyle w:val="BodyText"/>
      </w:pPr>
      <w:r>
        <w:br/>
      </w:r>
    </w:p>
    <w:p>
      <w:pPr>
        <w:pStyle w:val="BodyText"/>
      </w:pPr>
      <w:r>
        <w:t>二、双选题（本大题共 1 小题，共 2 分）</w:t>
      </w:r>
    </w:p>
    <w:p>
      <w:pPr>
        <w:pStyle w:val="BodyText"/>
      </w:pPr>
      <w:r>
        <w:t>10、2008年9月，三鹿等国内多家奶粉企业生产的婴幼儿奶粉中相继检测出一种有毒的物质--三聚氰胺（C</w:t>
      </w:r>
      <w:r>
        <w:rPr>
          <w:vertAlign w:val="subscript"/>
        </w:rPr>
        <w:t>3</w:t>
      </w:r>
      <w:r>
        <w:t>H</w:t>
      </w:r>
      <w:r>
        <w:rPr>
          <w:vertAlign w:val="subscript"/>
        </w:rPr>
        <w:t>6</w:t>
      </w:r>
      <w:r>
        <w:t>N</w:t>
      </w:r>
      <w:r>
        <w:rPr>
          <w:vertAlign w:val="subscript"/>
        </w:rPr>
        <w:t>6</w:t>
      </w:r>
      <w:r>
        <w:t>），造成了严重的食品安全事故。下列关于三聚氰胺的说法错误的是（　　）</w:t>
      </w:r>
    </w:p>
    <w:tbl>
      <w:tblPr>
        <w:tblStyle w:val="HostTable-Borderless"/>
        <w:tblW w:w="5000" w:type="pct"/>
        <w:tblInd w:w="0" w:type="dxa"/>
        <w:tblCellMar>
          <w:top w:w="0" w:type="dxa"/>
          <w:left w:w="0" w:type="dxa"/>
          <w:bottom w:w="0" w:type="dxa"/>
          <w:right w:w="0" w:type="dxa"/>
        </w:tblCellMar>
      </w:tblPr>
      <w:tblGrid>
        <w:gridCol w:w="3908"/>
        <w:gridCol w:w="6178"/>
      </w:tblGrid>
      <w:tr>
        <w:tblPrEx>
          <w:tblW w:w="5000" w:type="pct"/>
          <w:tblInd w:w="0" w:type="dxa"/>
          <w:tblCellMar>
            <w:top w:w="0" w:type="dxa"/>
            <w:left w:w="0" w:type="dxa"/>
            <w:bottom w:w="0" w:type="dxa"/>
            <w:right w:w="0" w:type="dxa"/>
          </w:tblCellMar>
        </w:tblPrEx>
        <w:tc>
          <w:tcPr/>
          <w:p>
            <w:pPr>
              <w:pStyle w:val="Compact"/>
              <w:jc w:val="left"/>
            </w:pPr>
            <w:r>
              <w:t>A.三聚氰胺由碳、氢、氮三种元素组成</w:t>
            </w:r>
          </w:p>
        </w:tc>
        <w:tc>
          <w:tcPr/>
          <w:p>
            <w:pPr>
              <w:pStyle w:val="Compact"/>
              <w:jc w:val="left"/>
            </w:pPr>
            <w:r>
              <w:t>B.三聚氰胺分子由3个碳原子、6个氢原子、6个氧原子构成</w:t>
            </w:r>
          </w:p>
        </w:tc>
      </w:tr>
      <w:tr>
        <w:tblPrEx>
          <w:tblW w:w="5000" w:type="pct"/>
          <w:tblInd w:w="0" w:type="dxa"/>
          <w:tblCellMar>
            <w:top w:w="0" w:type="dxa"/>
            <w:left w:w="0" w:type="dxa"/>
            <w:bottom w:w="0" w:type="dxa"/>
            <w:right w:w="0" w:type="dxa"/>
          </w:tblCellMar>
        </w:tblPrEx>
        <w:tc>
          <w:tcPr/>
          <w:p>
            <w:pPr>
              <w:pStyle w:val="Compact"/>
              <w:jc w:val="left"/>
            </w:pPr>
            <w:r>
              <w:t>C.三聚氰胺的相对分子质量是126</w:t>
            </w:r>
          </w:p>
        </w:tc>
        <w:tc>
          <w:tcPr/>
          <w:p>
            <w:pPr>
              <w:pStyle w:val="Compact"/>
              <w:jc w:val="left"/>
            </w:pPr>
            <w:r>
              <w:t>D.三聚氰胺中氢、氮元素的质量比为1：1</w:t>
            </w:r>
          </w:p>
        </w:tc>
      </w:tr>
    </w:tbl>
    <w:p>
      <w:pPr>
        <w:pStyle w:val="BodyText"/>
      </w:pPr>
      <w:r>
        <w:t>【 答 案 】</w:t>
      </w:r>
    </w:p>
    <w:p>
      <w:pPr>
        <w:pStyle w:val="BodyText"/>
      </w:pPr>
      <w:r>
        <w:t>BD</w:t>
      </w:r>
    </w:p>
    <w:p>
      <w:pPr>
        <w:pStyle w:val="BodyText"/>
      </w:pPr>
      <w:r>
        <w:t>【 解析 】</w:t>
      </w:r>
    </w:p>
    <w:p>
      <w:pPr>
        <w:pStyle w:val="BodyText"/>
      </w:pPr>
      <w:r>
        <w:t>解：A．由化学式可知，三聚氰胺由碳、氢、氮三种元素组成，故正确；</w:t>
      </w:r>
      <w:r>
        <w:br/>
      </w:r>
      <w:r>
        <w:t>B．三聚氰胺是由分子构成的，而不是由原子直接构成的，由化学式可知，每个三聚氰胺分子由3个碳原子、6个氢原子、6个氮原子构成，故错误；</w:t>
      </w:r>
      <w:r>
        <w:br/>
      </w:r>
      <w:r>
        <w:t>C．三聚氰胺的相对分子质量是12×3+1×6+14×6=126，故正确；</w:t>
      </w:r>
      <w:r>
        <w:br/>
      </w:r>
      <w:r>
        <w:t>D．三聚氰胺中氢、氮元素的质量比为（1×6）：（14×6）=1：14，故错误。</w:t>
      </w:r>
      <w:r>
        <w:br/>
      </w:r>
      <w:r>
        <w:t>故选：BD。</w:t>
      </w:r>
      <w:r>
        <w:br/>
      </w:r>
      <w:r>
        <w:t>A．根据物质的组成来分析；</w:t>
      </w:r>
      <w:r>
        <w:br/>
      </w:r>
      <w:r>
        <w:t>B．根据分子结构来分析；</w:t>
      </w:r>
      <w:r>
        <w:br/>
      </w:r>
      <w:r>
        <w:t>C．根据相对分子质量的计算方法来分析；</w:t>
      </w:r>
      <w:r>
        <w:br/>
      </w:r>
      <w:r>
        <w:t>D．根据化合物中元素质量比的计算方法来分析。</w:t>
      </w:r>
      <w:r>
        <w:br/>
      </w:r>
      <w:r>
        <w:t>本题难度不大，考查同学们结合新信息、灵活运用化学式的含义与有关计算进行分析问题、解决问题的能力。</w:t>
      </w:r>
    </w:p>
    <w:p>
      <w:pPr>
        <w:pStyle w:val="BodyText"/>
      </w:pPr>
      <w:r>
        <w:br/>
      </w:r>
    </w:p>
    <w:p>
      <w:pPr>
        <w:pStyle w:val="BodyText"/>
      </w:pPr>
      <w:r>
        <w:t>三、填空题（本大题共 4 小题，共 25 分）</w:t>
      </w:r>
    </w:p>
    <w:p>
      <w:pPr>
        <w:pStyle w:val="BodyText"/>
      </w:pPr>
      <w:r>
        <w:t>11、化学源于生活，“柴、米、油、盐”中蕴含着许多化学知识．请你填空</w:t>
      </w:r>
      <w:r>
        <w:br/>
      </w:r>
      <w:r>
        <w:t>（1）在新农村建设中，许多家庭兴建沼气池．沼气的主要成分是______</w:t>
      </w:r>
      <w:r>
        <w:br/>
      </w:r>
      <w:r>
        <w:t>（2）大米的主要成分是淀粉．淀粉属于六大营养素中的______</w:t>
      </w:r>
      <w:r>
        <w:br/>
      </w:r>
      <w:r>
        <w:t>（3）餐具上的油污用加入洗洁精的水更易洗掉，原因是______</w:t>
      </w:r>
      <w:r>
        <w:br/>
      </w:r>
      <w:r>
        <w:t>（4）市场上食盐的品种丰富，有碘盐、锌盐、钙盐、硒盐等．这些食盐中含的碘，锌、钙、硒等是指______（选填“原子”、“离子”、“元素”或“单质”）．</w:t>
      </w:r>
    </w:p>
    <w:p>
      <w:pPr>
        <w:pStyle w:val="BodyText"/>
      </w:pPr>
      <w:r>
        <w:t>【 答 案 】</w:t>
      </w:r>
    </w:p>
    <w:p>
      <w:pPr>
        <w:pStyle w:val="BodyText"/>
      </w:pPr>
      <w:r>
        <w:t>甲烷   糖类   洗洁精具有乳化功能   元素  </w:t>
      </w:r>
    </w:p>
    <w:p>
      <w:pPr>
        <w:pStyle w:val="BodyText"/>
      </w:pPr>
      <w:r>
        <w:t>【 解析 】</w:t>
      </w:r>
    </w:p>
    <w:p>
      <w:pPr>
        <w:pStyle w:val="BodyText"/>
      </w:pPr>
      <w:r>
        <w:t>解：（1）沼气的主要成分是甲烷．</w:t>
      </w:r>
      <w:r>
        <w:br/>
      </w:r>
      <w:r>
        <w:t>（2）淀粉属于糖类．</w:t>
      </w:r>
      <w:r>
        <w:br/>
      </w:r>
      <w:r>
        <w:t>（3）洗洁精具有乳化功能，能将油污变成微小的油脂小液滴，因此能更容易洗掉．</w:t>
      </w:r>
      <w:r>
        <w:br/>
      </w:r>
      <w:r>
        <w:t>（4）因为盐中的“碘”、“锌”、“钙”、“硒”有许多个，用分子、原子和单质无法体现盐中“碘”、“锌”、“钙”、“硒”的数量，只有元素能体现，因此选元素．</w:t>
      </w:r>
      <w:r>
        <w:br/>
      </w:r>
      <w:r>
        <w:t>故答案为：（1）甲烷；（2）糖类；（3）洗洁精具有乳化功能；（4）元素．</w:t>
      </w:r>
      <w:r>
        <w:br/>
      </w:r>
      <w:r>
        <w:t>（1）只有熟悉常见化学物质的俗名，才能正确解答本小题．</w:t>
      </w:r>
      <w:r>
        <w:br/>
      </w:r>
      <w:r>
        <w:t>（2）只有熟悉六大营养素的种类和分布，才能正确解答本小题．</w:t>
      </w:r>
      <w:r>
        <w:br/>
      </w:r>
      <w:r>
        <w:t>（3）依据洗洁精的乳化作用可以解答本小题．</w:t>
      </w:r>
      <w:r>
        <w:br/>
      </w:r>
      <w:r>
        <w:t>（4）依据元素的概念与意义可以解答本小题．</w:t>
      </w:r>
      <w:r>
        <w:br/>
      </w:r>
      <w:r>
        <w:t>本题主要考查物质的化学名称和俗名、营养素的种类和分布、乳化功能和元素的概念．难度较小．</w:t>
      </w:r>
    </w:p>
    <w:p>
      <w:pPr>
        <w:pStyle w:val="BodyText"/>
      </w:pPr>
      <w:r>
        <w:br/>
      </w:r>
      <w:r>
        <w:t>12、实验室欲配制1000g溶质质量分数为4%的氢氧化钠溶液．配制步骤为：</w:t>
      </w:r>
      <w:r>
        <w:br/>
      </w:r>
      <w:r>
        <w:t>（1）计算：需氢氧化钠固体______g，水______mL（水的密度是1g/cm</w:t>
      </w:r>
      <w:r>
        <w:rPr>
          <w:vertAlign w:val="superscript"/>
        </w:rPr>
        <w:t>3</w:t>
      </w:r>
      <w:r>
        <w:t>）．</w:t>
      </w:r>
      <w:r>
        <w:br/>
      </w:r>
      <w:r>
        <w:t>（2）称量：用质量为23.1g的烧杯作称量容器，在托盘天平上称取氢氧化钠固体时，盛有氢氧化钠固体的烧杯应放在______盘（填：“左”或“右”），在下表所列的砝码中，选出所需砝码（打“∨”表示选用）：</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742"/>
        <w:gridCol w:w="615"/>
        <w:gridCol w:w="482"/>
        <w:gridCol w:w="588"/>
        <w:gridCol w:w="588"/>
        <w:gridCol w:w="641"/>
        <w:gridCol w:w="455"/>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砝码/g</w:t>
            </w:r>
          </w:p>
        </w:tc>
        <w:tc>
          <w:tcPr/>
          <w:p>
            <w:pPr>
              <w:pStyle w:val="Compact"/>
              <w:jc w:val="left"/>
            </w:pPr>
            <w:r>
              <w:t>100</w:t>
            </w:r>
          </w:p>
        </w:tc>
        <w:tc>
          <w:tcPr/>
          <w:p>
            <w:pPr>
              <w:pStyle w:val="Compact"/>
              <w:jc w:val="left"/>
            </w:pPr>
            <w:r>
              <w:t>50</w:t>
            </w:r>
          </w:p>
        </w:tc>
        <w:tc>
          <w:tcPr/>
          <w:p>
            <w:pPr>
              <w:pStyle w:val="Compact"/>
              <w:jc w:val="left"/>
            </w:pPr>
            <w:r>
              <w:t>  20</w:t>
            </w:r>
          </w:p>
        </w:tc>
        <w:tc>
          <w:tcPr/>
          <w:p>
            <w:pPr>
              <w:pStyle w:val="Compact"/>
              <w:jc w:val="left"/>
            </w:pPr>
            <w:r>
              <w:t>  20</w:t>
            </w:r>
          </w:p>
        </w:tc>
        <w:tc>
          <w:tcPr/>
          <w:p>
            <w:pPr>
              <w:pStyle w:val="Compact"/>
              <w:jc w:val="left"/>
            </w:pPr>
            <w:r>
              <w:t>   10</w:t>
            </w:r>
          </w:p>
        </w:tc>
        <w:tc>
          <w:tcPr/>
          <w:p>
            <w:pPr>
              <w:pStyle w:val="Compact"/>
              <w:jc w:val="left"/>
            </w:pPr>
            <w:r>
              <w:t>  5</w:t>
            </w:r>
          </w:p>
        </w:tc>
      </w:tr>
      <w:tr>
        <w:tblPrEx>
          <w:tblW w:w="0" w:type="pct"/>
          <w:tblInd w:w="0" w:type="dxa"/>
          <w:tblCellMar>
            <w:top w:w="0" w:type="dxa"/>
            <w:left w:w="108" w:type="dxa"/>
            <w:bottom w:w="0" w:type="dxa"/>
            <w:right w:w="108" w:type="dxa"/>
          </w:tblCellMar>
        </w:tblPrEx>
        <w:tc>
          <w:tcPr/>
          <w:p>
            <w:pPr>
              <w:pStyle w:val="Compact"/>
              <w:jc w:val="left"/>
            </w:pPr>
            <w:r>
              <w:t>打“V”表示选用</w:t>
            </w:r>
          </w:p>
        </w:tc>
        <w:tc>
          <w:tcPr/>
          <w:p>
            <w:pPr>
              <w:pStyle w:val="Compact"/>
              <w:jc w:val="left"/>
            </w:pPr>
            <w:r>
              <w:t> </w:t>
            </w:r>
          </w:p>
        </w:tc>
        <w:tc>
          <w:tcPr/>
          <w:p>
            <w:pPr>
              <w:rPr>
                <w:szCs w:val="24"/>
              </w:rPr>
            </w:pPr>
          </w:p>
        </w:tc>
        <w:tc>
          <w:tcPr/>
          <w:p>
            <w:pPr>
              <w:rPr>
                <w:szCs w:val="24"/>
              </w:rPr>
            </w:pPr>
          </w:p>
        </w:tc>
        <w:tc>
          <w:tcPr/>
          <w:p>
            <w:pPr>
              <w:pStyle w:val="Compact"/>
              <w:jc w:val="left"/>
            </w:pPr>
            <w:r>
              <w:t> </w:t>
            </w:r>
          </w:p>
        </w:tc>
        <w:tc>
          <w:tcPr/>
          <w:p>
            <w:pPr>
              <w:pStyle w:val="Compact"/>
              <w:jc w:val="left"/>
            </w:pPr>
            <w:r>
              <w:t> </w:t>
            </w:r>
          </w:p>
        </w:tc>
        <w:tc>
          <w:tcPr/>
          <w:p>
            <w:pPr>
              <w:pStyle w:val="Compact"/>
              <w:jc w:val="left"/>
            </w:pPr>
            <w:r>
              <w:t> </w:t>
            </w:r>
          </w:p>
        </w:tc>
      </w:tr>
    </w:tbl>
    <w:p>
      <w:pPr>
        <w:pStyle w:val="BodyText"/>
      </w:pPr>
      <w:r>
        <w:t>并在下列标尺中选出能正确表示游码位置的选项______（填字母）</w:t>
      </w:r>
      <w:r>
        <w:br/>
      </w:r>
      <w:r>
        <w:drawing>
          <wp:inline distT="0" distB="0" distL="114300" distR="114300">
            <wp:extent cx="4552315" cy="654050"/>
            <wp:effectExtent l="0" t="0" r="0" b="0"/>
            <wp:docPr id="17895145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214335" name="Picture"/>
                    <pic:cNvPicPr>
                      <a:picLocks noChangeAspect="1" noChangeArrowheads="1"/>
                    </pic:cNvPicPr>
                  </pic:nvPicPr>
                  <pic:blipFill>
                    <a:blip xmlns:r="http://schemas.openxmlformats.org/officeDocument/2006/relationships" r:embed="rId15"/>
                    <a:stretch>
                      <a:fillRect/>
                    </a:stretch>
                  </pic:blipFill>
                  <pic:spPr>
                    <a:xfrm>
                      <a:off x="0" y="0"/>
                      <a:ext cx="4552749" cy="654517"/>
                    </a:xfrm>
                    <a:prstGeom prst="rect">
                      <a:avLst/>
                    </a:prstGeom>
                    <a:noFill/>
                    <a:ln w="9525">
                      <a:noFill/>
                    </a:ln>
                  </pic:spPr>
                </pic:pic>
              </a:graphicData>
            </a:graphic>
          </wp:inline>
        </w:drawing>
      </w:r>
      <w:r>
        <w:br/>
      </w:r>
      <w:r>
        <w:t>（3）溶解：将氢氧化钠固体溶于水，用______搅拌，使氢氧化钠全部溶解，冷却至室温．</w:t>
      </w:r>
      <w:r>
        <w:br/>
      </w:r>
      <w:r>
        <w:t>（4）把配好的溶液装入试剂瓶，盖好瓶盖并贴上标签，放入试剂柜中．</w:t>
      </w:r>
    </w:p>
    <w:p>
      <w:pPr>
        <w:pStyle w:val="BodyText"/>
      </w:pPr>
      <w:r>
        <w:t>【 答 案 】</w:t>
      </w:r>
    </w:p>
    <w:p>
      <w:pPr>
        <w:pStyle w:val="BodyText"/>
      </w:pPr>
      <w:r>
        <w:t>40   960   左  </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742"/>
        <w:gridCol w:w="615"/>
        <w:gridCol w:w="482"/>
        <w:gridCol w:w="588"/>
        <w:gridCol w:w="588"/>
        <w:gridCol w:w="641"/>
        <w:gridCol w:w="455"/>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砝码/g</w:t>
            </w:r>
          </w:p>
        </w:tc>
        <w:tc>
          <w:tcPr/>
          <w:p>
            <w:pPr>
              <w:pStyle w:val="Compact"/>
              <w:jc w:val="left"/>
            </w:pPr>
            <w:r>
              <w:t>100</w:t>
            </w:r>
          </w:p>
        </w:tc>
        <w:tc>
          <w:tcPr/>
          <w:p>
            <w:pPr>
              <w:pStyle w:val="Compact"/>
              <w:jc w:val="left"/>
            </w:pPr>
            <w:r>
              <w:t>50</w:t>
            </w:r>
          </w:p>
        </w:tc>
        <w:tc>
          <w:tcPr/>
          <w:p>
            <w:pPr>
              <w:pStyle w:val="Compact"/>
              <w:jc w:val="left"/>
            </w:pPr>
            <w:r>
              <w:t>  20</w:t>
            </w:r>
          </w:p>
        </w:tc>
        <w:tc>
          <w:tcPr/>
          <w:p>
            <w:pPr>
              <w:pStyle w:val="Compact"/>
              <w:jc w:val="left"/>
            </w:pPr>
            <w:r>
              <w:t>  20</w:t>
            </w:r>
          </w:p>
        </w:tc>
        <w:tc>
          <w:tcPr/>
          <w:p>
            <w:pPr>
              <w:pStyle w:val="Compact"/>
              <w:jc w:val="left"/>
            </w:pPr>
            <w:r>
              <w:t>   10</w:t>
            </w:r>
          </w:p>
        </w:tc>
        <w:tc>
          <w:tcPr/>
          <w:p>
            <w:pPr>
              <w:pStyle w:val="Compact"/>
              <w:jc w:val="left"/>
            </w:pPr>
            <w:r>
              <w:t>  5</w:t>
            </w:r>
          </w:p>
        </w:tc>
      </w:tr>
      <w:tr>
        <w:tblPrEx>
          <w:tblW w:w="0" w:type="pct"/>
          <w:tblInd w:w="0" w:type="dxa"/>
          <w:tblCellMar>
            <w:top w:w="0" w:type="dxa"/>
            <w:left w:w="108" w:type="dxa"/>
            <w:bottom w:w="0" w:type="dxa"/>
            <w:right w:w="108" w:type="dxa"/>
          </w:tblCellMar>
        </w:tblPrEx>
        <w:tc>
          <w:tcPr/>
          <w:p>
            <w:pPr>
              <w:pStyle w:val="Compact"/>
              <w:jc w:val="left"/>
            </w:pPr>
            <w:r>
              <w:t>打“V”表示选用</w:t>
            </w:r>
          </w:p>
        </w:tc>
        <w:tc>
          <w:tcPr/>
          <w:p>
            <w:pPr>
              <w:pStyle w:val="Compact"/>
              <w:jc w:val="left"/>
            </w:pPr>
            <w:r>
              <w:t> </w:t>
            </w:r>
          </w:p>
        </w:tc>
        <w:tc>
          <w:tcPr/>
          <w:p>
            <w:pPr>
              <w:pStyle w:val="Compact"/>
              <w:jc w:val="left"/>
            </w:pPr>
            <w:r>
              <w:t>V</w:t>
            </w:r>
          </w:p>
        </w:tc>
        <w:tc>
          <w:tcPr/>
          <w:p>
            <w:pPr>
              <w:pStyle w:val="Compact"/>
              <w:jc w:val="left"/>
            </w:pPr>
            <w:r>
              <w:t> </w:t>
            </w:r>
          </w:p>
        </w:tc>
        <w:tc>
          <w:tcPr/>
          <w:p>
            <w:pPr>
              <w:pStyle w:val="Compact"/>
              <w:jc w:val="left"/>
            </w:pPr>
            <w:r>
              <w:t> </w:t>
            </w:r>
          </w:p>
        </w:tc>
        <w:tc>
          <w:tcPr/>
          <w:p>
            <w:pPr>
              <w:pStyle w:val="Compact"/>
              <w:jc w:val="left"/>
            </w:pPr>
            <w:r>
              <w:t> V</w:t>
            </w:r>
          </w:p>
        </w:tc>
        <w:tc>
          <w:tcPr/>
          <w:p>
            <w:pPr>
              <w:pStyle w:val="Compact"/>
              <w:jc w:val="left"/>
            </w:pPr>
            <w:r>
              <w:t> </w:t>
            </w:r>
          </w:p>
        </w:tc>
      </w:tr>
    </w:tbl>
    <w:p>
      <w:pPr>
        <w:pStyle w:val="BodyText"/>
      </w:pPr>
      <w:r>
        <w:t>B  玻璃棒  </w:t>
      </w:r>
    </w:p>
    <w:p>
      <w:pPr>
        <w:pStyle w:val="BodyText"/>
      </w:pPr>
      <w:r>
        <w:t>【 解析 】</w:t>
      </w:r>
    </w:p>
    <w:p>
      <w:pPr>
        <w:pStyle w:val="BodyText"/>
      </w:pPr>
      <w:r>
        <w:t>解：（1）需要固体氢氧化钠的质量为：1000克×4%═40克，水的质量：1000克-40克=960克，由于水的密度为1g/cm</w:t>
      </w:r>
      <w:r>
        <w:rPr>
          <w:vertAlign w:val="superscript"/>
        </w:rPr>
        <w:t>3</w:t>
      </w:r>
      <w:r>
        <w:t>所以体积为960mL，故答案为：40，960．</w:t>
      </w:r>
      <w:r>
        <w:br/>
      </w:r>
      <w:r>
        <w:t>    （2）称量时左物右码，由于烧杯加药品的质量为40g+23.1g=63.1g．所以砝码选择50克，10克，然后用游码，游码在标尺的位置应该是游码的左端对准刻度，所以应选B，故答案为：左，50，10．B </w:t>
      </w:r>
      <w:r>
        <w:br/>
      </w:r>
      <w:r>
        <w:t>表格如下：</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742"/>
        <w:gridCol w:w="615"/>
        <w:gridCol w:w="482"/>
        <w:gridCol w:w="588"/>
        <w:gridCol w:w="588"/>
        <w:gridCol w:w="641"/>
        <w:gridCol w:w="455"/>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砝码/g</w:t>
            </w:r>
          </w:p>
        </w:tc>
        <w:tc>
          <w:tcPr/>
          <w:p>
            <w:pPr>
              <w:pStyle w:val="Compact"/>
              <w:jc w:val="left"/>
            </w:pPr>
            <w:r>
              <w:t>100</w:t>
            </w:r>
          </w:p>
        </w:tc>
        <w:tc>
          <w:tcPr/>
          <w:p>
            <w:pPr>
              <w:pStyle w:val="Compact"/>
              <w:jc w:val="left"/>
            </w:pPr>
            <w:r>
              <w:t>50</w:t>
            </w:r>
          </w:p>
        </w:tc>
        <w:tc>
          <w:tcPr/>
          <w:p>
            <w:pPr>
              <w:pStyle w:val="Compact"/>
              <w:jc w:val="left"/>
            </w:pPr>
            <w:r>
              <w:t>  20</w:t>
            </w:r>
          </w:p>
        </w:tc>
        <w:tc>
          <w:tcPr/>
          <w:p>
            <w:pPr>
              <w:pStyle w:val="Compact"/>
              <w:jc w:val="left"/>
            </w:pPr>
            <w:r>
              <w:t>  20</w:t>
            </w:r>
          </w:p>
        </w:tc>
        <w:tc>
          <w:tcPr/>
          <w:p>
            <w:pPr>
              <w:pStyle w:val="Compact"/>
              <w:jc w:val="left"/>
            </w:pPr>
            <w:r>
              <w:t>   10</w:t>
            </w:r>
          </w:p>
        </w:tc>
        <w:tc>
          <w:tcPr/>
          <w:p>
            <w:pPr>
              <w:pStyle w:val="Compact"/>
              <w:jc w:val="left"/>
            </w:pPr>
            <w:r>
              <w:t>  5</w:t>
            </w:r>
          </w:p>
        </w:tc>
      </w:tr>
      <w:tr>
        <w:tblPrEx>
          <w:tblW w:w="0" w:type="pct"/>
          <w:tblInd w:w="0" w:type="dxa"/>
          <w:tblCellMar>
            <w:top w:w="0" w:type="dxa"/>
            <w:left w:w="108" w:type="dxa"/>
            <w:bottom w:w="0" w:type="dxa"/>
            <w:right w:w="108" w:type="dxa"/>
          </w:tblCellMar>
        </w:tblPrEx>
        <w:tc>
          <w:tcPr/>
          <w:p>
            <w:pPr>
              <w:pStyle w:val="Compact"/>
              <w:jc w:val="left"/>
            </w:pPr>
            <w:r>
              <w:t>打“V”表示选用</w:t>
            </w:r>
          </w:p>
        </w:tc>
        <w:tc>
          <w:tcPr/>
          <w:p>
            <w:pPr>
              <w:pStyle w:val="Compact"/>
              <w:jc w:val="left"/>
            </w:pPr>
            <w:r>
              <w:t> </w:t>
            </w:r>
          </w:p>
        </w:tc>
        <w:tc>
          <w:tcPr/>
          <w:p>
            <w:pPr>
              <w:pStyle w:val="Compact"/>
              <w:jc w:val="left"/>
            </w:pPr>
            <w:r>
              <w:t>V</w:t>
            </w:r>
          </w:p>
        </w:tc>
        <w:tc>
          <w:tcPr/>
          <w:p>
            <w:pPr>
              <w:pStyle w:val="Compact"/>
              <w:jc w:val="left"/>
            </w:pPr>
            <w:r>
              <w:t> </w:t>
            </w:r>
          </w:p>
        </w:tc>
        <w:tc>
          <w:tcPr/>
          <w:p>
            <w:pPr>
              <w:pStyle w:val="Compact"/>
              <w:jc w:val="left"/>
            </w:pPr>
            <w:r>
              <w:t> </w:t>
            </w:r>
          </w:p>
        </w:tc>
        <w:tc>
          <w:tcPr/>
          <w:p>
            <w:pPr>
              <w:pStyle w:val="Compact"/>
              <w:jc w:val="left"/>
            </w:pPr>
            <w:r>
              <w:t> V</w:t>
            </w:r>
          </w:p>
        </w:tc>
        <w:tc>
          <w:tcPr/>
          <w:p>
            <w:pPr>
              <w:pStyle w:val="Compact"/>
              <w:jc w:val="left"/>
            </w:pPr>
            <w:r>
              <w:t> </w:t>
            </w:r>
          </w:p>
        </w:tc>
      </w:tr>
    </w:tbl>
    <w:p>
      <w:pPr>
        <w:pStyle w:val="BodyText"/>
      </w:pPr>
      <w:r>
        <w:t>（3）溶解时通常要用玻璃棒以加速溶解速度，故答案为：玻璃棒．</w:t>
      </w:r>
      <w:r>
        <w:br/>
      </w:r>
      <w:r>
        <w:t>本题主要考查配制溶液的步骤，以及在配制过程中有关托盘天平的使用，如称量时左物右码，砝码的选择，标尺的读数等．</w:t>
      </w:r>
      <w:r>
        <w:br/>
      </w:r>
      <w:r>
        <w:t>对于配制一定质量一定质量分数的溶液，一定要掌握配制的步骤，以及各步中仪器的使用，仪器的作用及仪器使用时的注意事项．</w:t>
      </w:r>
      <w:r>
        <w:br/>
      </w:r>
      <w:r>
        <w:t>13、 全国人民期盼已久的奥运会即将在北京召开。请用所学知识回答与奥运会有关的下列问题。</w:t>
      </w:r>
      <w:r>
        <w:br/>
      </w:r>
      <w:r>
        <w:t>（1）北京奥运会的许多方面需要大量材料。下列使用的材料（加黑点）中属于金属材料的是______（填序号，下同），属于有机合成材料的是______，属于复合材料的是______。</w:t>
      </w:r>
      <w:r>
        <w:drawing>
          <wp:inline distT="0" distB="0" distL="114300" distR="114300">
            <wp:extent cx="5871210" cy="1327785"/>
            <wp:effectExtent l="0" t="0" r="0" b="0"/>
            <wp:docPr id="187311400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315488" name="Picture"/>
                    <pic:cNvPicPr>
                      <a:picLocks noChangeAspect="1" noChangeArrowheads="1"/>
                    </pic:cNvPicPr>
                  </pic:nvPicPr>
                  <pic:blipFill>
                    <a:blip xmlns:r="http://schemas.openxmlformats.org/officeDocument/2006/relationships" r:embed="rId16"/>
                    <a:stretch>
                      <a:fillRect/>
                    </a:stretch>
                  </pic:blipFill>
                  <pic:spPr>
                    <a:xfrm>
                      <a:off x="0" y="0"/>
                      <a:ext cx="5871410" cy="1328286"/>
                    </a:xfrm>
                    <a:prstGeom prst="rect">
                      <a:avLst/>
                    </a:prstGeom>
                    <a:noFill/>
                    <a:ln w="9525">
                      <a:noFill/>
                    </a:ln>
                  </pic:spPr>
                </pic:pic>
              </a:graphicData>
            </a:graphic>
          </wp:inline>
        </w:drawing>
      </w:r>
      <w:r>
        <w:br/>
      </w:r>
      <w:r>
        <w:t>（2）人类获得的能量绝大多数来自于天然气、______和煤等化石燃料。北京奥运会使用丙烷（C</w:t>
      </w:r>
      <w:r>
        <w:rPr>
          <w:vertAlign w:val="subscript"/>
        </w:rPr>
        <w:t>3</w:t>
      </w:r>
      <w:r>
        <w:t>H</w:t>
      </w:r>
      <w:r>
        <w:rPr>
          <w:vertAlign w:val="subscript"/>
        </w:rPr>
        <w:t>8</w:t>
      </w:r>
      <w:r>
        <w:t>）作火炬燃料，丙烷燃烧时生成水和二氧化碳，该反应的化学方程式为______。</w:t>
      </w:r>
      <w:r>
        <w:br/>
      </w:r>
      <w:r>
        <w:t>（3）北京奥运会坚决反对运动员使用兴奋剂。某种兴奋剂的化学式为C</w:t>
      </w:r>
      <w:r>
        <w:rPr>
          <w:vertAlign w:val="subscript"/>
        </w:rPr>
        <w:t>16</w:t>
      </w:r>
      <w:r>
        <w:t>H</w:t>
      </w:r>
      <w:r>
        <w:rPr>
          <w:vertAlign w:val="subscript"/>
        </w:rPr>
        <w:t>16</w:t>
      </w:r>
      <w:r>
        <w:t>O</w:t>
      </w:r>
      <w:r>
        <w:rPr>
          <w:vertAlign w:val="subscript"/>
        </w:rPr>
        <w:t>3</w:t>
      </w:r>
      <w:r>
        <w:t>，该兴奋剂中碳：氢：氧元素的质量比为______。</w:t>
      </w:r>
      <w:r>
        <w:br/>
      </w:r>
      <w:r>
        <w:t>（4）奥运会游泳、跳水等运动项目在“水立方”举行，比赛池中的水要定期进行消毒处理。按照物质的分类，下列某种消毒剂与其他三种消毒剂不属于同一类的是______（填序号）。</w:t>
      </w:r>
      <w:r>
        <w:br/>
      </w:r>
      <w:r>
        <w:t>A．Cl</w:t>
      </w:r>
      <w:r>
        <w:rPr>
          <w:vertAlign w:val="subscript"/>
        </w:rPr>
        <w:t>2</w:t>
      </w:r>
      <w:r>
        <w:t>、B．KMnO</w:t>
      </w:r>
      <w:r>
        <w:rPr>
          <w:vertAlign w:val="subscript"/>
        </w:rPr>
        <w:t>4</w:t>
      </w:r>
      <w:r>
        <w:t>、C．NaClO． D．CuSO</w:t>
      </w:r>
      <w:r>
        <w:rPr>
          <w:vertAlign w:val="subscript"/>
        </w:rPr>
        <w:t>4</w:t>
      </w:r>
      <w:r>
        <w:t>。</w:t>
      </w:r>
    </w:p>
    <w:p>
      <w:pPr>
        <w:pStyle w:val="BodyText"/>
      </w:pPr>
      <w:r>
        <w:t>【 答 案 】</w:t>
      </w:r>
    </w:p>
    <w:p>
      <w:pPr>
        <w:pStyle w:val="BodyText"/>
      </w:pPr>
      <w:r>
        <w:t>①   ③   ④   石油   C</w:t>
      </w:r>
      <w:r>
        <w:rPr>
          <w:vertAlign w:val="subscript"/>
        </w:rPr>
        <w:t>3</w:t>
      </w:r>
      <w:r>
        <w:t>H</w:t>
      </w:r>
      <w:r>
        <w:rPr>
          <w:vertAlign w:val="subscript"/>
        </w:rPr>
        <w:t>8</w:t>
      </w:r>
      <w:r>
        <w:t>+5O</w:t>
      </w:r>
      <w:r>
        <w:rPr>
          <w:vertAlign w:val="subscript"/>
        </w:rPr>
        <w:t>2</w:t>
      </w:r>
      <w:r>
        <w:t>→3CO</w:t>
      </w:r>
      <w:r>
        <w:rPr>
          <w:vertAlign w:val="subscript"/>
        </w:rPr>
        <w:t>2</w:t>
      </w:r>
      <w:r>
        <w:t>+4H</w:t>
      </w:r>
      <w:r>
        <w:rPr>
          <w:vertAlign w:val="subscript"/>
        </w:rPr>
        <w:t>2</w:t>
      </w:r>
      <w:r>
        <w:t>O   12：1：3   D  </w:t>
      </w:r>
    </w:p>
    <w:p>
      <w:pPr>
        <w:pStyle w:val="BodyText"/>
      </w:pPr>
      <w:r>
        <w:t>【 解析 】</w:t>
      </w:r>
    </w:p>
    <w:p>
      <w:pPr>
        <w:pStyle w:val="BodyText"/>
      </w:pPr>
      <w:r>
        <w:t>解：（1）北京奥运会所需要得大量材料，其中铝合金、新型钢构属于金属材料；聚酯纤维属于有机合成材料；玻璃钢属于复合材料。</w:t>
      </w:r>
      <w:r>
        <w:br/>
      </w:r>
      <w:r>
        <w:t>（2）人类获得的能量绝大多数来自于煤、石油、天然气；</w:t>
      </w:r>
      <w:r>
        <w:br/>
      </w:r>
      <w:r>
        <w:t>（3）某兴奋剂的化学式为C</w:t>
      </w:r>
      <w:r>
        <w:rPr>
          <w:vertAlign w:val="subscript"/>
        </w:rPr>
        <w:t>16</w:t>
      </w:r>
      <w:r>
        <w:t>H</w:t>
      </w:r>
      <w:r>
        <w:rPr>
          <w:vertAlign w:val="subscript"/>
        </w:rPr>
        <w:t>16</w:t>
      </w:r>
      <w:r>
        <w:t>O</w:t>
      </w:r>
      <w:r>
        <w:rPr>
          <w:vertAlign w:val="subscript"/>
        </w:rPr>
        <w:t>3</w:t>
      </w:r>
      <w:r>
        <w:t>，该兴奋剂中碳：氢：氧元素的质量比为12：1：3；</w:t>
      </w:r>
      <w:r>
        <w:br/>
      </w:r>
      <w:r>
        <w:t>（4）下列某种消毒剂中A．Cl</w:t>
      </w:r>
      <w:r>
        <w:rPr>
          <w:vertAlign w:val="subscript"/>
        </w:rPr>
        <w:t>2</w:t>
      </w:r>
      <w:r>
        <w:t>B．KMnO</w:t>
      </w:r>
      <w:r>
        <w:rPr>
          <w:vertAlign w:val="subscript"/>
        </w:rPr>
        <w:t>4</w:t>
      </w:r>
      <w:r>
        <w:t>C．NaClO是强氧化性消毒；而D．CuSO</w:t>
      </w:r>
      <w:r>
        <w:rPr>
          <w:vertAlign w:val="subscript"/>
        </w:rPr>
        <w:t>4</w:t>
      </w:r>
      <w:r>
        <w:t xml:space="preserve"> 是无机铜素杀菌。</w:t>
      </w:r>
      <w:r>
        <w:br/>
      </w:r>
      <w:r>
        <w:t>故答案为：（1）①②、③、④</w:t>
      </w:r>
      <w:r>
        <w:br/>
      </w:r>
      <w:r>
        <w:t>（2）石油、C</w:t>
      </w:r>
      <w:r>
        <w:rPr>
          <w:vertAlign w:val="subscript"/>
        </w:rPr>
        <w:t>3</w:t>
      </w:r>
      <w:r>
        <w:t>H</w:t>
      </w:r>
      <w:r>
        <w:rPr>
          <w:vertAlign w:val="subscript"/>
        </w:rPr>
        <w:t>8</w:t>
      </w:r>
      <w:r>
        <w:t>+5O</w:t>
      </w:r>
      <w:r>
        <w:rPr>
          <w:vertAlign w:val="subscript"/>
        </w:rPr>
        <w:t>2</w:t>
      </w:r>
      <w:r>
        <w:t>→3CO</w:t>
      </w:r>
      <w:r>
        <w:rPr>
          <w:vertAlign w:val="subscript"/>
        </w:rPr>
        <w:t>2</w:t>
      </w:r>
      <w:r>
        <w:t>+4H</w:t>
      </w:r>
      <w:r>
        <w:rPr>
          <w:vertAlign w:val="subscript"/>
        </w:rPr>
        <w:t>2</w:t>
      </w:r>
      <w:r>
        <w:t>O</w:t>
      </w:r>
      <w:r>
        <w:br/>
      </w:r>
      <w:r>
        <w:t>（3）12：1：3</w:t>
      </w:r>
      <w:r>
        <w:br/>
      </w:r>
      <w:r>
        <w:t>（4）D。</w:t>
      </w:r>
      <w:r>
        <w:br/>
      </w:r>
      <w:r>
        <w:t>北京奥运会是个大事件，其建设用到许多材料，都与化学知识息息相关，如火炬用到的铝合金就属于合金材料；某种兴奋剂的化学式为C</w:t>
      </w:r>
      <w:r>
        <w:rPr>
          <w:vertAlign w:val="subscript"/>
        </w:rPr>
        <w:t>16</w:t>
      </w:r>
      <w:r>
        <w:t>H</w:t>
      </w:r>
      <w:r>
        <w:rPr>
          <w:vertAlign w:val="subscript"/>
        </w:rPr>
        <w:t>16</w:t>
      </w:r>
      <w:r>
        <w:t>O</w:t>
      </w:r>
      <w:r>
        <w:rPr>
          <w:vertAlign w:val="subscript"/>
        </w:rPr>
        <w:t>3</w:t>
      </w:r>
      <w:r>
        <w:t>，该兴奋剂中碳：氢：氧元素的质量比为12：1：3。</w:t>
      </w:r>
      <w:r>
        <w:br/>
      </w:r>
      <w:r>
        <w:t>本题考查化学知识在生产、生活中的广泛应用，涉及到材料、能源、兴奋剂、消毒剂等，有力的考查了学生的学以致用的能力。</w:t>
      </w:r>
    </w:p>
    <w:p>
      <w:pPr>
        <w:pStyle w:val="BodyText"/>
      </w:pPr>
      <w:r>
        <w:br/>
      </w:r>
      <w:r>
        <w:t>14、小明同学欲通过实验证明“二氧化锰是氯酸钾受热分解的催化剂”这一命题。他设计并完成了下表所示的探究实验：</w:t>
      </w:r>
      <w:r>
        <w:br/>
      </w:r>
    </w:p>
    <w:tbl>
      <w:tblPr>
        <w:tblStyle w:val="HostTable-Borderless"/>
        <w:tblW w:w="5000" w:type="pct"/>
        <w:tblInd w:w="0" w:type="dxa"/>
        <w:tblCellMar>
          <w:top w:w="0" w:type="dxa"/>
          <w:left w:w="0" w:type="dxa"/>
          <w:bottom w:w="0" w:type="dxa"/>
          <w:right w:w="0" w:type="dxa"/>
        </w:tblCellMar>
      </w:tblPr>
      <w:tblGrid>
        <w:gridCol w:w="798"/>
        <w:gridCol w:w="3070"/>
        <w:gridCol w:w="937"/>
        <w:gridCol w:w="2949"/>
        <w:gridCol w:w="2332"/>
      </w:tblGrid>
      <w:tr>
        <w:tblPrEx>
          <w:tblW w:w="5000" w:type="pct"/>
          <w:tblInd w:w="0" w:type="dxa"/>
          <w:tblCellMar>
            <w:top w:w="0" w:type="dxa"/>
            <w:left w:w="0" w:type="dxa"/>
            <w:bottom w:w="0" w:type="dxa"/>
            <w:right w:w="0" w:type="dxa"/>
          </w:tblCellMar>
        </w:tblPrEx>
        <w:tc>
          <w:tcPr/>
          <w:p>
            <w:pPr>
              <w:pStyle w:val="Compact"/>
              <w:jc w:val="left"/>
            </w:pPr>
            <w:r>
              <w:t> </w:t>
            </w:r>
          </w:p>
        </w:tc>
        <w:tc>
          <w:tcPr/>
          <w:p>
            <w:pPr>
              <w:pStyle w:val="Compact"/>
              <w:jc w:val="left"/>
            </w:pPr>
            <w:r>
              <w:t>实验操作</w:t>
            </w:r>
          </w:p>
        </w:tc>
        <w:tc>
          <w:tcPr/>
          <w:p>
            <w:pPr>
              <w:pStyle w:val="Compact"/>
              <w:jc w:val="left"/>
            </w:pPr>
            <w:r>
              <w:t>实验现象</w:t>
            </w:r>
          </w:p>
        </w:tc>
        <w:tc>
          <w:tcPr/>
          <w:p>
            <w:pPr>
              <w:pStyle w:val="Compact"/>
              <w:jc w:val="left"/>
            </w:pPr>
            <w:r>
              <w:t>实验结论或总结</w:t>
            </w:r>
          </w:p>
        </w:tc>
        <w:tc>
          <w:tcPr/>
          <w:p/>
        </w:tc>
      </w:tr>
      <w:tr>
        <w:tblPrEx>
          <w:tblW w:w="5000" w:type="pct"/>
          <w:tblInd w:w="0" w:type="dxa"/>
          <w:tblCellMar>
            <w:top w:w="0" w:type="dxa"/>
            <w:left w:w="0" w:type="dxa"/>
            <w:bottom w:w="0" w:type="dxa"/>
            <w:right w:w="0" w:type="dxa"/>
          </w:tblCellMar>
        </w:tblPrEx>
        <w:tc>
          <w:tcPr/>
          <w:p>
            <w:pPr>
              <w:pStyle w:val="Compact"/>
              <w:jc w:val="left"/>
            </w:pPr>
            <w:r>
              <w:t>各步骤结论</w:t>
            </w:r>
          </w:p>
        </w:tc>
        <w:tc>
          <w:tcPr/>
          <w:p>
            <w:pPr>
              <w:pStyle w:val="Compact"/>
              <w:jc w:val="left"/>
            </w:pPr>
            <w:r>
              <w:t>总结</w:t>
            </w:r>
          </w:p>
        </w:tc>
        <w:tc>
          <w:tcPr/>
          <w:p/>
        </w:tc>
        <w:tc>
          <w:tcPr/>
          <w:p/>
        </w:tc>
        <w:tc>
          <w:tcPr/>
          <w:p/>
        </w:tc>
      </w:tr>
      <w:tr>
        <w:tblPrEx>
          <w:tblW w:w="5000" w:type="pct"/>
          <w:tblInd w:w="0" w:type="dxa"/>
          <w:tblCellMar>
            <w:top w:w="0" w:type="dxa"/>
            <w:left w:w="0" w:type="dxa"/>
            <w:bottom w:w="0" w:type="dxa"/>
            <w:right w:w="0" w:type="dxa"/>
          </w:tblCellMar>
        </w:tblPrEx>
        <w:tc>
          <w:tcPr/>
          <w:p>
            <w:pPr>
              <w:pStyle w:val="Compact"/>
              <w:jc w:val="left"/>
            </w:pPr>
            <w:r>
              <w:t>实验一</w:t>
            </w:r>
          </w:p>
        </w:tc>
        <w:tc>
          <w:tcPr/>
          <w:p>
            <w:pPr>
              <w:pStyle w:val="Compact"/>
              <w:jc w:val="left"/>
            </w:pPr>
            <w:r>
              <w:t>将氯酸钾加热至融化，伸入带火星的木条，</w:t>
            </w:r>
          </w:p>
        </w:tc>
        <w:tc>
          <w:tcPr/>
          <w:p>
            <w:pPr>
              <w:pStyle w:val="Compact"/>
              <w:jc w:val="left"/>
            </w:pPr>
            <w:r>
              <w:t>木条复燃</w:t>
            </w:r>
          </w:p>
        </w:tc>
        <w:tc>
          <w:tcPr/>
          <w:p>
            <w:pPr>
              <w:pStyle w:val="Compact"/>
              <w:jc w:val="left"/>
            </w:pPr>
            <w:r>
              <w:t>氯酸钾受热要分解产生氧气，但是 ______ 。</w:t>
            </w:r>
            <w:r>
              <w:br/>
            </w:r>
            <w:r>
              <w:br/>
            </w:r>
            <w:r>
              <w:t>反应的化学方程式为： ______ 。</w:t>
            </w:r>
          </w:p>
        </w:tc>
        <w:tc>
          <w:tcPr/>
          <w:p>
            <w:pPr>
              <w:pStyle w:val="Compact"/>
              <w:jc w:val="left"/>
            </w:pPr>
            <w:r>
              <w:t>二氧化锰是氯酸钾受热分解的催化剂</w:t>
            </w:r>
          </w:p>
        </w:tc>
      </w:tr>
      <w:tr>
        <w:tblPrEx>
          <w:tblW w:w="5000" w:type="pct"/>
          <w:tblInd w:w="0" w:type="dxa"/>
          <w:tblCellMar>
            <w:top w:w="0" w:type="dxa"/>
            <w:left w:w="0" w:type="dxa"/>
            <w:bottom w:w="0" w:type="dxa"/>
            <w:right w:w="0" w:type="dxa"/>
          </w:tblCellMar>
        </w:tblPrEx>
        <w:tc>
          <w:tcPr/>
          <w:p>
            <w:pPr>
              <w:pStyle w:val="Compact"/>
              <w:jc w:val="left"/>
            </w:pPr>
            <w:r>
              <w:t>实验二</w:t>
            </w:r>
          </w:p>
        </w:tc>
        <w:tc>
          <w:tcPr/>
          <w:p>
            <w:pPr>
              <w:pStyle w:val="Compact"/>
              <w:jc w:val="left"/>
            </w:pPr>
            <w:r>
              <w:t>加热二氧化锰，伸入带火星的木条，</w:t>
            </w:r>
          </w:p>
        </w:tc>
        <w:tc>
          <w:tcPr/>
          <w:p>
            <w:pPr>
              <w:pStyle w:val="Compact"/>
              <w:jc w:val="left"/>
            </w:pPr>
            <w:r>
              <w:t>木条不复燃</w:t>
            </w:r>
          </w:p>
        </w:tc>
        <w:tc>
          <w:tcPr/>
          <w:p>
            <w:pPr>
              <w:pStyle w:val="Compact"/>
              <w:jc w:val="left"/>
            </w:pPr>
            <w:r>
              <w:t>二氧化锰受热不产生氧气。</w:t>
            </w:r>
          </w:p>
        </w:tc>
        <w:tc>
          <w:tcPr/>
          <w:p/>
        </w:tc>
      </w:tr>
      <w:tr>
        <w:tblPrEx>
          <w:tblW w:w="5000" w:type="pct"/>
          <w:tblInd w:w="0" w:type="dxa"/>
          <w:tblCellMar>
            <w:top w:w="0" w:type="dxa"/>
            <w:left w:w="0" w:type="dxa"/>
            <w:bottom w:w="0" w:type="dxa"/>
            <w:right w:w="0" w:type="dxa"/>
          </w:tblCellMar>
        </w:tblPrEx>
        <w:tc>
          <w:tcPr/>
          <w:p>
            <w:pPr>
              <w:pStyle w:val="Compact"/>
              <w:jc w:val="left"/>
            </w:pPr>
            <w:r>
              <w:t>实验三</w:t>
            </w:r>
          </w:p>
        </w:tc>
        <w:tc>
          <w:tcPr/>
          <w:p>
            <w:pPr>
              <w:pStyle w:val="Compact"/>
              <w:jc w:val="left"/>
            </w:pPr>
            <w:r>
              <w:br/>
            </w:r>
            <w:r>
              <w:t>______</w:t>
            </w:r>
            <w:r>
              <w:br/>
            </w:r>
            <w:r>
              <w:t>                   </w:t>
            </w:r>
          </w:p>
        </w:tc>
        <w:tc>
          <w:tcPr/>
          <w:p>
            <w:pPr>
              <w:pStyle w:val="Compact"/>
              <w:jc w:val="left"/>
            </w:pPr>
            <w:r>
              <w:t>木条迅速复燃</w:t>
            </w:r>
          </w:p>
        </w:tc>
        <w:tc>
          <w:tcPr/>
          <w:p>
            <w:pPr>
              <w:pStyle w:val="Compact"/>
              <w:jc w:val="left"/>
            </w:pPr>
            <w:r>
              <w:t>二氧化锰能加快氯酸钾的分解</w:t>
            </w:r>
          </w:p>
        </w:tc>
        <w:tc>
          <w:tcPr/>
          <w:p/>
        </w:tc>
      </w:tr>
    </w:tbl>
    <w:p>
      <w:pPr>
        <w:pStyle w:val="BodyText"/>
      </w:pPr>
      <w:r>
        <w:t>（1）请你帮小明同学填写上表中未填完的空格；</w:t>
      </w:r>
      <w:r>
        <w:br/>
      </w:r>
      <w:r>
        <w:t>（2）在小明的探究实验中，实验一和实验二起的作用是______；</w:t>
      </w:r>
      <w:r>
        <w:br/>
      </w:r>
      <w:r>
        <w:t>（3）小英同学认为仅由上述实验还不能完全得出表内“总结”，她补充设计了两个方面的探究实验，最终完成了对“命题”的实验证明。第一方面的实验操作中包含了两次称量，其目的是：______；第二方面的实验是______。</w:t>
      </w:r>
    </w:p>
    <w:p>
      <w:pPr>
        <w:pStyle w:val="BodyText"/>
      </w:pPr>
      <w:r>
        <w:t>【 答 案 】</w:t>
      </w:r>
    </w:p>
    <w:p>
      <w:pPr>
        <w:pStyle w:val="BodyText"/>
      </w:pPr>
      <w:r>
        <w:t xml:space="preserve">时间较长、温度较高   </w:t>
      </w:r>
      <w:r>
        <w:drawing>
          <wp:inline distT="0" distB="0" distL="114300" distR="114300">
            <wp:extent cx="2108200" cy="266700"/>
            <wp:effectExtent l="0" t="0" r="0" b="0"/>
            <wp:docPr id="45760710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111310" name="Picture"/>
                    <pic:cNvPicPr>
                      <a:picLocks noChangeAspect="1" noChangeArrowheads="1"/>
                    </pic:cNvPicPr>
                  </pic:nvPicPr>
                  <pic:blipFill>
                    <a:blip xmlns:r="http://schemas.openxmlformats.org/officeDocument/2006/relationships" r:embed="rId17"/>
                    <a:stretch>
                      <a:fillRect/>
                    </a:stretch>
                  </pic:blipFill>
                  <pic:spPr>
                    <a:xfrm>
                      <a:off x="0" y="0"/>
                      <a:ext cx="2108200" cy="266700"/>
                    </a:xfrm>
                    <a:prstGeom prst="rect">
                      <a:avLst/>
                    </a:prstGeom>
                    <a:noFill/>
                    <a:ln w="9525">
                      <a:noFill/>
                    </a:ln>
                  </pic:spPr>
                </pic:pic>
              </a:graphicData>
            </a:graphic>
          </wp:inline>
        </w:drawing>
      </w:r>
      <w:r>
        <w:t xml:space="preserve">   将MnO</w:t>
      </w:r>
      <w:r>
        <w:rPr>
          <w:vertAlign w:val="subscript"/>
        </w:rPr>
        <w:t>2</w:t>
      </w:r>
      <w:r>
        <w:t>与KClO</w:t>
      </w:r>
      <w:r>
        <w:rPr>
          <w:vertAlign w:val="subscript"/>
        </w:rPr>
        <w:t>3</w:t>
      </w:r>
      <w:r>
        <w:t>的混合物加热     比较MnO</w:t>
      </w:r>
      <w:r>
        <w:rPr>
          <w:vertAlign w:val="subscript"/>
        </w:rPr>
        <w:t>2</w:t>
      </w:r>
      <w:r>
        <w:t>在KClO</w:t>
      </w:r>
      <w:r>
        <w:rPr>
          <w:vertAlign w:val="subscript"/>
        </w:rPr>
        <w:t>3</w:t>
      </w:r>
      <w:r>
        <w:t>分解前后的质量   验证从反应后的剩余物中分离出的物质是否能加快KClO</w:t>
      </w:r>
      <w:r>
        <w:rPr>
          <w:vertAlign w:val="subscript"/>
        </w:rPr>
        <w:t>3</w:t>
      </w:r>
      <w:r>
        <w:t>的分解  </w:t>
      </w:r>
    </w:p>
    <w:p>
      <w:pPr>
        <w:pStyle w:val="BodyText"/>
      </w:pPr>
      <w:r>
        <w:t>【 解析 】</w:t>
      </w:r>
    </w:p>
    <w:p>
      <w:pPr>
        <w:pStyle w:val="BodyText"/>
      </w:pPr>
      <w:r>
        <w:t>解：（1）实验三要看二氧化锰在氯酸钾分解反应中的作用，所以要加热二者的混合物；只加热氯酸钾，要加热到熔化才有少量氧气放出，生成氧气的速率较慢，反应方程式为</w:t>
      </w:r>
      <w:r>
        <w:drawing>
          <wp:inline distT="0" distB="0" distL="114300" distR="114300">
            <wp:extent cx="2108200" cy="266700"/>
            <wp:effectExtent l="0" t="0" r="0" b="0"/>
            <wp:docPr id="174946190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559796" name="Picture"/>
                    <pic:cNvPicPr>
                      <a:picLocks noChangeAspect="1" noChangeArrowheads="1"/>
                    </pic:cNvPicPr>
                  </pic:nvPicPr>
                  <pic:blipFill>
                    <a:blip xmlns:r="http://schemas.openxmlformats.org/officeDocument/2006/relationships" r:embed="rId18"/>
                    <a:stretch>
                      <a:fillRect/>
                    </a:stretch>
                  </pic:blipFill>
                  <pic:spPr>
                    <a:xfrm>
                      <a:off x="0" y="0"/>
                      <a:ext cx="2108200" cy="266700"/>
                    </a:xfrm>
                    <a:prstGeom prst="rect">
                      <a:avLst/>
                    </a:prstGeom>
                    <a:noFill/>
                    <a:ln w="9525">
                      <a:noFill/>
                    </a:ln>
                  </pic:spPr>
                </pic:pic>
              </a:graphicData>
            </a:graphic>
          </wp:inline>
        </w:drawing>
      </w:r>
      <w:r>
        <w:t>。</w:t>
      </w:r>
      <w:r>
        <w:br/>
      </w:r>
      <w:r>
        <w:t>（2）实验一和实验二是对比实验，通过对比得出二氧化锰的作用。</w:t>
      </w:r>
      <w:r>
        <w:br/>
      </w:r>
      <w:r>
        <w:t>（3）催化剂的特点是“一变，两不变”，即反应速率变，质量和化学性质不变，要证明物质是催化剂，必须同时验证这三点，所以第一方面：比较MnO</w:t>
      </w:r>
      <w:r>
        <w:rPr>
          <w:vertAlign w:val="subscript"/>
        </w:rPr>
        <w:t>2</w:t>
      </w:r>
      <w:r>
        <w:t>在KClO</w:t>
      </w:r>
      <w:r>
        <w:rPr>
          <w:vertAlign w:val="subscript"/>
        </w:rPr>
        <w:t>3</w:t>
      </w:r>
      <w:r>
        <w:t>分解前后的质量；第二方面：验证从反应后的剩余物中分离出的物质是否能加快KClO</w:t>
      </w:r>
      <w:r>
        <w:rPr>
          <w:vertAlign w:val="subscript"/>
        </w:rPr>
        <w:t>3</w:t>
      </w:r>
      <w:r>
        <w:t>的分解。</w:t>
      </w:r>
      <w:r>
        <w:br/>
      </w:r>
      <w:r>
        <w:t>故答案为：（1）</w:t>
      </w:r>
    </w:p>
    <w:tbl>
      <w:tblPr>
        <w:tblStyle w:val="HostTable-Borderless"/>
        <w:tblW w:w="5000" w:type="pct"/>
        <w:tblInd w:w="0" w:type="dxa"/>
        <w:tblCellMar>
          <w:top w:w="0" w:type="dxa"/>
          <w:left w:w="0" w:type="dxa"/>
          <w:bottom w:w="0" w:type="dxa"/>
          <w:right w:w="0" w:type="dxa"/>
        </w:tblCellMar>
      </w:tblPr>
      <w:tblGrid>
        <w:gridCol w:w="982"/>
        <w:gridCol w:w="4504"/>
        <w:gridCol w:w="72"/>
        <w:gridCol w:w="4528"/>
      </w:tblGrid>
      <w:tr>
        <w:tblPrEx>
          <w:tblW w:w="5000" w:type="pct"/>
          <w:tblInd w:w="0" w:type="dxa"/>
          <w:tblCellMar>
            <w:top w:w="0" w:type="dxa"/>
            <w:left w:w="0" w:type="dxa"/>
            <w:bottom w:w="0" w:type="dxa"/>
            <w:right w:w="0" w:type="dxa"/>
          </w:tblCellMar>
        </w:tblPrEx>
        <w:tc>
          <w:tcPr/>
          <w:p>
            <w:pPr>
              <w:pStyle w:val="Compact"/>
              <w:jc w:val="left"/>
            </w:pPr>
            <w:r>
              <w:t>实验一</w:t>
            </w:r>
          </w:p>
        </w:tc>
        <w:tc>
          <w:tcPr/>
          <w:p>
            <w:pPr>
              <w:pStyle w:val="Compact"/>
              <w:jc w:val="left"/>
            </w:pPr>
            <w:r>
              <w:t> </w:t>
            </w:r>
          </w:p>
        </w:tc>
        <w:tc>
          <w:tcPr/>
          <w:p>
            <w:pPr>
              <w:pStyle w:val="Compact"/>
              <w:jc w:val="left"/>
            </w:pPr>
            <w:r>
              <w:t> </w:t>
            </w:r>
          </w:p>
        </w:tc>
        <w:tc>
          <w:tcPr/>
          <w:p>
            <w:pPr>
              <w:pStyle w:val="Compact"/>
              <w:jc w:val="left"/>
            </w:pPr>
            <w:r>
              <w:t>时间较长、温度较高</w:t>
            </w:r>
            <w:r>
              <w:br/>
            </w:r>
            <w:r>
              <w:br/>
            </w:r>
            <w:r>
              <w:drawing>
                <wp:inline distT="0" distB="0" distL="114300" distR="114300">
                  <wp:extent cx="2108200" cy="266700"/>
                  <wp:effectExtent l="0" t="0" r="0" b="0"/>
                  <wp:docPr id="145473224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478822" name="Picture"/>
                          <pic:cNvPicPr>
                            <a:picLocks noChangeAspect="1" noChangeArrowheads="1"/>
                          </pic:cNvPicPr>
                        </pic:nvPicPr>
                        <pic:blipFill>
                          <a:blip xmlns:r="http://schemas.openxmlformats.org/officeDocument/2006/relationships" r:embed="rId18"/>
                          <a:stretch>
                            <a:fillRect/>
                          </a:stretch>
                        </pic:blipFill>
                        <pic:spPr>
                          <a:xfrm>
                            <a:off x="0" y="0"/>
                            <a:ext cx="2108200" cy="266700"/>
                          </a:xfrm>
                          <a:prstGeom prst="rect">
                            <a:avLst/>
                          </a:prstGeom>
                          <a:noFill/>
                          <a:ln w="9525">
                            <a:noFill/>
                          </a:ln>
                        </pic:spPr>
                      </pic:pic>
                    </a:graphicData>
                  </a:graphic>
                </wp:inline>
              </w:drawing>
            </w:r>
          </w:p>
        </w:tc>
      </w:tr>
      <w:tr>
        <w:tblPrEx>
          <w:tblW w:w="5000" w:type="pct"/>
          <w:tblInd w:w="0" w:type="dxa"/>
          <w:tblCellMar>
            <w:top w:w="0" w:type="dxa"/>
            <w:left w:w="0" w:type="dxa"/>
            <w:bottom w:w="0" w:type="dxa"/>
            <w:right w:w="0" w:type="dxa"/>
          </w:tblCellMar>
        </w:tblPrEx>
        <w:tc>
          <w:tcPr/>
          <w:p>
            <w:pPr>
              <w:pStyle w:val="Compact"/>
              <w:jc w:val="left"/>
            </w:pPr>
            <w:r>
              <w:t>实验三</w:t>
            </w:r>
          </w:p>
        </w:tc>
        <w:tc>
          <w:tcPr/>
          <w:p>
            <w:pPr>
              <w:pStyle w:val="Compact"/>
              <w:jc w:val="left"/>
            </w:pPr>
            <w:r>
              <w:t>将MnO</w:t>
            </w:r>
            <w:r>
              <w:rPr>
                <w:vertAlign w:val="subscript"/>
              </w:rPr>
              <w:t>2</w:t>
            </w:r>
            <w:r>
              <w:t>与KClO</w:t>
            </w:r>
            <w:r>
              <w:rPr>
                <w:vertAlign w:val="subscript"/>
              </w:rPr>
              <w:t>3</w:t>
            </w:r>
            <w:r>
              <w:t>的混合物加热</w:t>
            </w:r>
          </w:p>
        </w:tc>
        <w:tc>
          <w:tcPr/>
          <w:p>
            <w:pPr>
              <w:pStyle w:val="Compact"/>
              <w:jc w:val="left"/>
            </w:pPr>
            <w:r>
              <w:t> </w:t>
            </w:r>
          </w:p>
        </w:tc>
        <w:tc>
          <w:tcPr/>
          <w:p>
            <w:pPr>
              <w:pStyle w:val="Compact"/>
              <w:jc w:val="left"/>
            </w:pPr>
            <w:r>
              <w:t> </w:t>
            </w:r>
          </w:p>
        </w:tc>
      </w:tr>
    </w:tbl>
    <w:p>
      <w:pPr>
        <w:pStyle w:val="BodyText"/>
      </w:pPr>
      <w:r>
        <w:t>（2）对比（或比照等）；</w:t>
      </w:r>
      <w:r>
        <w:br/>
      </w:r>
      <w:r>
        <w:t>（3）比较MnO</w:t>
      </w:r>
      <w:r>
        <w:rPr>
          <w:vertAlign w:val="subscript"/>
        </w:rPr>
        <w:t>2</w:t>
      </w:r>
      <w:r>
        <w:t>在KClO</w:t>
      </w:r>
      <w:r>
        <w:rPr>
          <w:vertAlign w:val="subscript"/>
        </w:rPr>
        <w:t>3</w:t>
      </w:r>
      <w:r>
        <w:t>分解前后的质量；验证从反应后的剩余物中分离出的物质是否能加快KClO</w:t>
      </w:r>
      <w:r>
        <w:rPr>
          <w:vertAlign w:val="subscript"/>
        </w:rPr>
        <w:t>3</w:t>
      </w:r>
      <w:r>
        <w:t>的分解。</w:t>
      </w:r>
      <w:r>
        <w:br/>
      </w:r>
      <w:r>
        <w:t>（1）根据实验三要看二氧化锰在氯酸钾分解反应中的作用，所以要加热二者的混合物；根据实验现象得出结论，根据反应物、生成物、反应条件书写方程式。</w:t>
      </w:r>
      <w:r>
        <w:br/>
      </w:r>
      <w:r>
        <w:t>（2）根据对比实验的探究方法回答。</w:t>
      </w:r>
      <w:r>
        <w:br/>
      </w:r>
      <w:r>
        <w:t>（3）根据催化剂的定义和特点回答。</w:t>
      </w:r>
      <w:r>
        <w:br/>
      </w:r>
      <w:r>
        <w:t>催化剂、催化作用是初中重要基本概念之一，是考查的重点和热点，主要考查对催化剂、催化作用概念的理解，对催化效率影响因素的探究等。</w:t>
      </w:r>
      <w:r>
        <w:br/>
      </w:r>
    </w:p>
    <w:p>
      <w:pPr>
        <w:pStyle w:val="BodyText"/>
      </w:pPr>
      <w:r>
        <w:t>四、计算题（本大题共 2 小题，共 15 分）</w:t>
      </w:r>
    </w:p>
    <w:p>
      <w:pPr>
        <w:pStyle w:val="BodyText"/>
      </w:pPr>
      <w:r>
        <w:t>15、 碳与碳的化合物在工农业生产及日常生活中有广泛的用途。</w:t>
      </w:r>
      <w:r>
        <w:br/>
      </w:r>
      <w:r>
        <w:t>（1）右图是碳原子结构示意图，碳原子的质子数是______，碳元素在元素周期表中位于第______周期。</w:t>
      </w:r>
      <w:r>
        <w:br/>
      </w:r>
      <w:r>
        <w:t>（2）古代用墨书写或绘制的字画虽年久仍不变色，原因是墨中主要成分碳具有______性。如图是木炭还原氧化铜的实验，大试管中的反应体现了碳的还原性，其反应的化学方程式是______，单质碳的还原性可以用于冶金工业。</w:t>
      </w:r>
      <w:r>
        <w:br/>
      </w:r>
      <w:r>
        <w:t>（3）二氧化碳能参与光合作用完成大气中的“碳循环”，但是大气中二氧化碳的含量不断上升，会使全球变暖，从而导致______。蔬菜大棚用作气肥的二氧化碳，可用多种方法制得，例如可以用稀硫酸与碳酸氢铵（NH</w:t>
      </w:r>
      <w:r>
        <w:rPr>
          <w:vertAlign w:val="subscript"/>
        </w:rPr>
        <w:t>4</w:t>
      </w:r>
      <w:r>
        <w:t>HCO</w:t>
      </w:r>
      <w:r>
        <w:rPr>
          <w:vertAlign w:val="subscript"/>
        </w:rPr>
        <w:t>3</w:t>
      </w:r>
      <w:r>
        <w:t>）反应制得，反应后生成硫酸铵、水和二氧化碳，这一反应的化学方程式是______ 。</w:t>
      </w:r>
      <w:r>
        <w:br/>
      </w:r>
      <w:r>
        <w:t>（4）研究发现：物质的结构决定性质，物质的性质决定用途。如：一氧化碳也能还原氧化铜，也有还原性。从化学反应前后碳元素化合价的变化特点分析，一氧化碳和碳都具有还原性的原因是______。</w:t>
      </w:r>
      <w:r>
        <w:br/>
      </w:r>
      <w:r>
        <w:drawing>
          <wp:inline distT="0" distB="0" distL="114300" distR="114300">
            <wp:extent cx="500380" cy="779145"/>
            <wp:effectExtent l="0" t="0" r="0" b="0"/>
            <wp:docPr id="12759254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950611" name="Picture"/>
                    <pic:cNvPicPr>
                      <a:picLocks noChangeAspect="1" noChangeArrowheads="1"/>
                    </pic:cNvPicPr>
                  </pic:nvPicPr>
                  <pic:blipFill>
                    <a:blip xmlns:r="http://schemas.openxmlformats.org/officeDocument/2006/relationships" r:embed="rId19"/>
                    <a:stretch>
                      <a:fillRect/>
                    </a:stretch>
                  </pic:blipFill>
                  <pic:spPr>
                    <a:xfrm>
                      <a:off x="0" y="0"/>
                      <a:ext cx="500513" cy="779646"/>
                    </a:xfrm>
                    <a:prstGeom prst="rect">
                      <a:avLst/>
                    </a:prstGeom>
                    <a:noFill/>
                    <a:ln w="9525">
                      <a:noFill/>
                    </a:ln>
                  </pic:spPr>
                </pic:pic>
              </a:graphicData>
            </a:graphic>
          </wp:inline>
        </w:drawing>
      </w:r>
      <w:r>
        <w:drawing>
          <wp:inline distT="0" distB="0" distL="114300" distR="114300">
            <wp:extent cx="1847850" cy="1299210"/>
            <wp:effectExtent l="0" t="0" r="0" b="0"/>
            <wp:docPr id="120395037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122860" name="Picture"/>
                    <pic:cNvPicPr>
                      <a:picLocks noChangeAspect="1" noChangeArrowheads="1"/>
                    </pic:cNvPicPr>
                  </pic:nvPicPr>
                  <pic:blipFill>
                    <a:blip xmlns:r="http://schemas.openxmlformats.org/officeDocument/2006/relationships" r:embed="rId20"/>
                    <a:stretch>
                      <a:fillRect/>
                    </a:stretch>
                  </pic:blipFill>
                  <pic:spPr>
                    <a:xfrm>
                      <a:off x="0" y="0"/>
                      <a:ext cx="1848050" cy="1299410"/>
                    </a:xfrm>
                    <a:prstGeom prst="rect">
                      <a:avLst/>
                    </a:prstGeom>
                    <a:noFill/>
                    <a:ln w="9525">
                      <a:noFill/>
                    </a:ln>
                  </pic:spPr>
                </pic:pic>
              </a:graphicData>
            </a:graphic>
          </wp:inline>
        </w:drawing>
      </w:r>
    </w:p>
    <w:p>
      <w:pPr>
        <w:pStyle w:val="BodyText"/>
      </w:pPr>
      <w:r>
        <w:t>【 答 案 】</w:t>
      </w:r>
    </w:p>
    <w:p>
      <w:pPr>
        <w:pStyle w:val="BodyText"/>
      </w:pPr>
      <w:r>
        <w:t xml:space="preserve">6   2   稳定   </w:t>
      </w:r>
      <w:r>
        <w:drawing>
          <wp:inline distT="0" distB="0" distL="114300" distR="114300">
            <wp:extent cx="2324100" cy="330200"/>
            <wp:effectExtent l="0" t="0" r="0" b="0"/>
            <wp:docPr id="7088611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28384" name="Picture"/>
                    <pic:cNvPicPr>
                      <a:picLocks noChangeAspect="1" noChangeArrowheads="1"/>
                    </pic:cNvPicPr>
                  </pic:nvPicPr>
                  <pic:blipFill>
                    <a:blip xmlns:r="http://schemas.openxmlformats.org/officeDocument/2006/relationships" r:embed="rId21"/>
                    <a:stretch>
                      <a:fillRect/>
                    </a:stretch>
                  </pic:blipFill>
                  <pic:spPr>
                    <a:xfrm>
                      <a:off x="0" y="0"/>
                      <a:ext cx="2324100" cy="330200"/>
                    </a:xfrm>
                    <a:prstGeom prst="rect">
                      <a:avLst/>
                    </a:prstGeom>
                    <a:noFill/>
                    <a:ln w="9525">
                      <a:noFill/>
                    </a:ln>
                  </pic:spPr>
                </pic:pic>
              </a:graphicData>
            </a:graphic>
          </wp:inline>
        </w:drawing>
      </w:r>
      <w:r>
        <w:t xml:space="preserve">   温室效应   2NH</w:t>
      </w:r>
      <w:r>
        <w:rPr>
          <w:vertAlign w:val="subscript"/>
        </w:rPr>
        <w:t>4</w:t>
      </w:r>
      <w:r>
        <w:t>HCO</w:t>
      </w:r>
      <w:r>
        <w:rPr>
          <w:vertAlign w:val="subscript"/>
        </w:rPr>
        <w:t>3</w:t>
      </w:r>
      <w:r>
        <w:t>+H</w:t>
      </w:r>
      <w:r>
        <w:rPr>
          <w:vertAlign w:val="subscript"/>
        </w:rPr>
        <w:t>2</w:t>
      </w:r>
      <w:r>
        <w:t>SO</w:t>
      </w:r>
      <w:r>
        <w:rPr>
          <w:vertAlign w:val="subscript"/>
        </w:rPr>
        <w:t>4</w:t>
      </w:r>
      <w:r>
        <w:t>═（NH</w:t>
      </w:r>
      <w:r>
        <w:rPr>
          <w:vertAlign w:val="subscript"/>
        </w:rPr>
        <w:t>4</w:t>
      </w:r>
      <w:r>
        <w:t>）</w:t>
      </w:r>
      <w:r>
        <w:rPr>
          <w:vertAlign w:val="subscript"/>
        </w:rPr>
        <w:t>2</w:t>
      </w:r>
      <w:r>
        <w:t>SO</w:t>
      </w:r>
      <w:r>
        <w:rPr>
          <w:vertAlign w:val="subscript"/>
        </w:rPr>
        <w:t>4</w:t>
      </w:r>
      <w:r>
        <w:t>+2H</w:t>
      </w:r>
      <w:r>
        <w:rPr>
          <w:vertAlign w:val="subscript"/>
        </w:rPr>
        <w:t>2</w:t>
      </w:r>
      <w:r>
        <w:t>O+2CO</w:t>
      </w:r>
      <w:r>
        <w:rPr>
          <w:vertAlign w:val="subscript"/>
        </w:rPr>
        <w:t>2</w:t>
      </w:r>
      <w:r>
        <w:t>↑   碳元素的化合价都未达最高正价  </w:t>
      </w:r>
    </w:p>
    <w:p>
      <w:pPr>
        <w:pStyle w:val="BodyText"/>
      </w:pPr>
      <w:r>
        <w:t>【 解析 】</w:t>
      </w:r>
    </w:p>
    <w:p>
      <w:pPr>
        <w:pStyle w:val="BodyText"/>
      </w:pPr>
      <w:r>
        <w:t>解：（1）根据碳原子结构示意图可得知，碳原子核内有6个质子、核外电子分两层，碳元素处于第二周期；</w:t>
      </w:r>
      <w:r>
        <w:br/>
      </w:r>
      <w:r>
        <w:t>故答案为：6；2；</w:t>
      </w:r>
      <w:r>
        <w:br/>
      </w:r>
      <w:r>
        <w:t>（2）碳元素的原子最外层电子数为4，为半稳定结构，常温下性质稳定；在高温条件下，单质碳与氧化铜发生置换反应生成铜和二氧化碳；</w:t>
      </w:r>
      <w:r>
        <w:br/>
      </w:r>
      <w:r>
        <w:t>故答案为：稳定；</w:t>
      </w:r>
      <w:r>
        <w:drawing>
          <wp:inline distT="0" distB="0" distL="114300" distR="114300">
            <wp:extent cx="2324100" cy="330200"/>
            <wp:effectExtent l="0" t="0" r="0" b="0"/>
            <wp:docPr id="193920075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584585" name="Picture"/>
                    <pic:cNvPicPr>
                      <a:picLocks noChangeAspect="1" noChangeArrowheads="1"/>
                    </pic:cNvPicPr>
                  </pic:nvPicPr>
                  <pic:blipFill>
                    <a:blip xmlns:r="http://schemas.openxmlformats.org/officeDocument/2006/relationships" r:embed="rId22"/>
                    <a:stretch>
                      <a:fillRect/>
                    </a:stretch>
                  </pic:blipFill>
                  <pic:spPr>
                    <a:xfrm>
                      <a:off x="0" y="0"/>
                      <a:ext cx="2324100" cy="330200"/>
                    </a:xfrm>
                    <a:prstGeom prst="rect">
                      <a:avLst/>
                    </a:prstGeom>
                    <a:noFill/>
                    <a:ln w="9525">
                      <a:noFill/>
                    </a:ln>
                  </pic:spPr>
                </pic:pic>
              </a:graphicData>
            </a:graphic>
          </wp:inline>
        </w:drawing>
      </w:r>
      <w:r>
        <w:t>；</w:t>
      </w:r>
      <w:r>
        <w:br/>
      </w:r>
      <w:r>
        <w:t>（3）二氧化碳气体是形成温室效应的主要气体，二氧化碳含量的增加造成气温上升称之为温室效应；碳酸氢铵与硫酸发生复分解反应，通过交换成分而生成硫酸铵、水和二氧化碳；</w:t>
      </w:r>
      <w:r>
        <w:br/>
      </w:r>
      <w:r>
        <w:t>故答案为：温室效应；2NH</w:t>
      </w:r>
      <w:r>
        <w:rPr>
          <w:vertAlign w:val="subscript"/>
        </w:rPr>
        <w:t>4</w:t>
      </w:r>
      <w:r>
        <w:t>HCO</w:t>
      </w:r>
      <w:r>
        <w:rPr>
          <w:vertAlign w:val="subscript"/>
        </w:rPr>
        <w:t>3</w:t>
      </w:r>
      <w:r>
        <w:t>+H</w:t>
      </w:r>
      <w:r>
        <w:rPr>
          <w:vertAlign w:val="subscript"/>
        </w:rPr>
        <w:t>2</w:t>
      </w:r>
      <w:r>
        <w:t>SO</w:t>
      </w:r>
      <w:r>
        <w:rPr>
          <w:vertAlign w:val="subscript"/>
        </w:rPr>
        <w:t>4</w:t>
      </w:r>
      <w:r>
        <w:t>═（NH</w:t>
      </w:r>
      <w:r>
        <w:rPr>
          <w:vertAlign w:val="subscript"/>
        </w:rPr>
        <w:t>4</w:t>
      </w:r>
      <w:r>
        <w:t>）</w:t>
      </w:r>
      <w:r>
        <w:rPr>
          <w:vertAlign w:val="subscript"/>
        </w:rPr>
        <w:t>2</w:t>
      </w:r>
      <w:r>
        <w:t>SO</w:t>
      </w:r>
      <w:r>
        <w:rPr>
          <w:vertAlign w:val="subscript"/>
        </w:rPr>
        <w:t>4</w:t>
      </w:r>
      <w:r>
        <w:t>+2H</w:t>
      </w:r>
      <w:r>
        <w:rPr>
          <w:vertAlign w:val="subscript"/>
        </w:rPr>
        <w:t>2</w:t>
      </w:r>
      <w:r>
        <w:t>O+2CO</w:t>
      </w:r>
      <w:r>
        <w:rPr>
          <w:vertAlign w:val="subscript"/>
        </w:rPr>
        <w:t>2</w:t>
      </w:r>
      <w:r>
        <w:t>↑；</w:t>
      </w:r>
      <w:r>
        <w:br/>
      </w:r>
      <w:r>
        <w:t>（4）根据碳还原氧化铜的反应中，碳元素的化合价从0变为+4；一氧化碳还原氧化铜的反应中，碳元素的化合价从+2价变为+4价；单质碳与一氧化碳具有还原性，则是由于它们中碳元素的化合价不是最高价，都可以继续升高为+4价；</w:t>
      </w:r>
      <w:r>
        <w:br/>
      </w:r>
      <w:r>
        <w:t>故答案为：碳元素的化合价都未达最高正价。</w:t>
      </w:r>
      <w:r>
        <w:br/>
      </w:r>
      <w:r>
        <w:t>（1）微粒的结构示意图中，圆圈内的数字为微粒的质子数；原子结构示意图中，核外电子层数即元素所在周期数；</w:t>
      </w:r>
      <w:r>
        <w:br/>
      </w:r>
      <w:r>
        <w:t>（2）碳元素的原子最外层电子数为4，不易得电子也不易失电子为半稳定结构，常温下性质稳定；但在高温条件下，单质碳能夺取氧化铜中的氧，使氧化铜还原成铜；</w:t>
      </w:r>
      <w:r>
        <w:br/>
      </w:r>
      <w:r>
        <w:t>（3）气体二氧化碳含量的增大形成了温室效应；碳酸盐遇酸放出气体二氧化碳，碳酸氢铵与硫酸反应生成硫酸铵、水和二氧化碳；</w:t>
      </w:r>
      <w:r>
        <w:br/>
      </w:r>
      <w:r>
        <w:t>（4）单质碳中碳元素化合价为0，一氧化碳中碳元素化合价为+2价，二氧化碳中碳元素化合价为+4价为碳元素的最高正价。</w:t>
      </w:r>
      <w:r>
        <w:br/>
      </w:r>
      <w:r>
        <w:t>元素的化学性质主要决定于原子结构中的最外层电子数，最外层电子数小于4易失电子、大于4易得电子、等于4则不易得也不易失。</w:t>
      </w:r>
    </w:p>
    <w:p>
      <w:pPr>
        <w:pStyle w:val="BodyText"/>
      </w:pPr>
      <w:r>
        <w:br/>
      </w:r>
      <w:r>
        <w:t>16、</w:t>
      </w:r>
      <w:bookmarkStart w:id="1" w:name="_GoBack"/>
      <w:bookmarkEnd w:id="1"/>
      <w:r>
        <w:t xml:space="preserve"> 某水泥厂化验室，为了测定某矿山石灰石中碳酸钙的质量分数，取石灰石样品与足量稀盐酸在烧杯中反应（假设石灰石样品中杂质不与稀盐酸反应也不溶于水．）有关实验数据如下表：</w:t>
      </w:r>
    </w:p>
    <w:tbl>
      <w:tblPr>
        <w:tblStyle w:val="HostTable-Borderless"/>
        <w:tblW w:w="5000" w:type="pct"/>
        <w:tblInd w:w="0" w:type="dxa"/>
        <w:tblCellMar>
          <w:top w:w="0" w:type="dxa"/>
          <w:left w:w="0" w:type="dxa"/>
          <w:bottom w:w="0" w:type="dxa"/>
          <w:right w:w="0" w:type="dxa"/>
        </w:tblCellMar>
      </w:tblPr>
      <w:tblGrid>
        <w:gridCol w:w="1136"/>
        <w:gridCol w:w="3159"/>
        <w:gridCol w:w="2632"/>
        <w:gridCol w:w="3159"/>
      </w:tblGrid>
      <w:tr>
        <w:tblPrEx>
          <w:tblW w:w="5000" w:type="pct"/>
          <w:tblInd w:w="0" w:type="dxa"/>
          <w:tblCellMar>
            <w:top w:w="0" w:type="dxa"/>
            <w:left w:w="0" w:type="dxa"/>
            <w:bottom w:w="0" w:type="dxa"/>
            <w:right w:w="0" w:type="dxa"/>
          </w:tblCellMar>
        </w:tblPrEx>
        <w:tc>
          <w:tcPr/>
          <w:p/>
        </w:tc>
        <w:tc>
          <w:tcPr/>
          <w:p>
            <w:pPr>
              <w:pStyle w:val="Compact"/>
              <w:jc w:val="left"/>
            </w:pPr>
            <w:r>
              <w:t>反应前</w:t>
            </w:r>
          </w:p>
        </w:tc>
        <w:tc>
          <w:tcPr/>
          <w:p>
            <w:pPr>
              <w:pStyle w:val="Compact"/>
              <w:jc w:val="left"/>
            </w:pPr>
            <w:r>
              <w:t>反应后</w:t>
            </w:r>
          </w:p>
        </w:tc>
        <w:tc>
          <w:tcPr/>
          <w:p/>
        </w:tc>
      </w:tr>
      <w:tr>
        <w:tblPrEx>
          <w:tblW w:w="5000" w:type="pct"/>
          <w:tblInd w:w="0" w:type="dxa"/>
          <w:tblCellMar>
            <w:top w:w="0" w:type="dxa"/>
            <w:left w:w="0" w:type="dxa"/>
            <w:bottom w:w="0" w:type="dxa"/>
            <w:right w:w="0" w:type="dxa"/>
          </w:tblCellMar>
        </w:tblPrEx>
        <w:tc>
          <w:tcPr/>
          <w:p>
            <w:pPr>
              <w:pStyle w:val="Compact"/>
              <w:jc w:val="left"/>
            </w:pPr>
            <w:r>
              <w:t>实</w:t>
            </w:r>
            <w:r>
              <w:br/>
            </w:r>
            <w:r>
              <w:t>验</w:t>
            </w:r>
            <w:r>
              <w:br/>
            </w:r>
            <w:r>
              <w:t>数</w:t>
            </w:r>
            <w:r>
              <w:br/>
            </w:r>
            <w:r>
              <w:t>据</w:t>
            </w:r>
          </w:p>
        </w:tc>
        <w:tc>
          <w:tcPr/>
          <w:p>
            <w:pPr>
              <w:pStyle w:val="Compact"/>
              <w:jc w:val="left"/>
            </w:pPr>
            <w:r>
              <w:t>烧杯和稀盐酸</w:t>
            </w:r>
            <w:r>
              <w:br/>
            </w:r>
            <w:r>
              <w:t>的质量</w:t>
            </w:r>
          </w:p>
        </w:tc>
        <w:tc>
          <w:tcPr/>
          <w:p>
            <w:pPr>
              <w:pStyle w:val="Compact"/>
              <w:jc w:val="left"/>
            </w:pPr>
            <w:r>
              <w:t>石灰石样品</w:t>
            </w:r>
            <w:r>
              <w:br/>
            </w:r>
            <w:r>
              <w:t>的质量</w:t>
            </w:r>
          </w:p>
        </w:tc>
        <w:tc>
          <w:tcPr/>
          <w:p>
            <w:pPr>
              <w:pStyle w:val="Compact"/>
              <w:jc w:val="left"/>
            </w:pPr>
            <w:r>
              <w:t>烧杯和其中混</w:t>
            </w:r>
            <w:r>
              <w:br/>
            </w:r>
            <w:r>
              <w:t>合物的质量</w:t>
            </w:r>
          </w:p>
        </w:tc>
      </w:tr>
      <w:tr>
        <w:tblPrEx>
          <w:tblW w:w="5000" w:type="pct"/>
          <w:tblInd w:w="0" w:type="dxa"/>
          <w:tblCellMar>
            <w:top w:w="0" w:type="dxa"/>
            <w:left w:w="0" w:type="dxa"/>
            <w:bottom w:w="0" w:type="dxa"/>
            <w:right w:w="0" w:type="dxa"/>
          </w:tblCellMar>
        </w:tblPrEx>
        <w:tc>
          <w:tcPr/>
          <w:p>
            <w:pPr>
              <w:pStyle w:val="Compact"/>
              <w:jc w:val="left"/>
            </w:pPr>
            <w:r>
              <w:t>150g</w:t>
            </w:r>
          </w:p>
        </w:tc>
        <w:tc>
          <w:tcPr/>
          <w:p>
            <w:pPr>
              <w:pStyle w:val="Compact"/>
              <w:jc w:val="left"/>
            </w:pPr>
            <w:r>
              <w:t>12g</w:t>
            </w:r>
          </w:p>
        </w:tc>
        <w:tc>
          <w:tcPr/>
          <w:p>
            <w:pPr>
              <w:pStyle w:val="Compact"/>
              <w:jc w:val="left"/>
            </w:pPr>
            <w:r>
              <w:t>157.6g</w:t>
            </w:r>
          </w:p>
        </w:tc>
        <w:tc>
          <w:tcPr/>
          <w:p/>
        </w:tc>
      </w:tr>
    </w:tbl>
    <w:p>
      <w:pPr>
        <w:pStyle w:val="BodyText"/>
      </w:pPr>
      <w:r>
        <w:t>（1）根据质量守恒定律可知，反应中生成二氧化碳的质量为______g．</w:t>
      </w:r>
      <w:r>
        <w:br/>
      </w:r>
      <w:r>
        <w:t>（2）求该石灰石中碳酸钙的质量分数．</w:t>
      </w:r>
    </w:p>
    <w:p>
      <w:pPr>
        <w:pStyle w:val="BodyText"/>
      </w:pPr>
      <w:r>
        <w:t>【 答 案 】</w:t>
      </w:r>
    </w:p>
    <w:p>
      <w:pPr>
        <w:pStyle w:val="BodyText"/>
      </w:pPr>
      <w:r>
        <w:t>4.4  83.3%</w:t>
      </w:r>
    </w:p>
    <w:p>
      <w:pPr>
        <w:pStyle w:val="BodyText"/>
      </w:pPr>
      <w:r>
        <w:t>【 解析 】</w:t>
      </w:r>
    </w:p>
    <w:p>
      <w:pPr>
        <w:pStyle w:val="BodyText"/>
      </w:pPr>
      <w:r>
        <w:t>解：（1）根据质量守恒定律，二氧化碳的质量为：150g+12g-157.6g=4.4g．</w:t>
      </w:r>
      <w:r>
        <w:br/>
      </w:r>
      <w:r>
        <w:t>（2）设该石灰石样品中碳酸钙的质量为x．</w:t>
      </w:r>
      <w:r>
        <w:br/>
      </w:r>
      <w:r>
        <w:t>CaCO</w:t>
      </w:r>
      <w:r>
        <w:rPr>
          <w:vertAlign w:val="subscript"/>
        </w:rPr>
        <w:t>3</w:t>
      </w:r>
      <w:r>
        <w:t>+2HCl═CaCl</w:t>
      </w:r>
      <w:r>
        <w:rPr>
          <w:vertAlign w:val="subscript"/>
        </w:rPr>
        <w:t>2</w:t>
      </w:r>
      <w:r>
        <w:t>+H</w:t>
      </w:r>
      <w:r>
        <w:rPr>
          <w:vertAlign w:val="subscript"/>
        </w:rPr>
        <w:t>2</w:t>
      </w:r>
      <w:r>
        <w:t>O+CO</w:t>
      </w:r>
      <w:r>
        <w:rPr>
          <w:vertAlign w:val="subscript"/>
        </w:rPr>
        <w:t>2</w:t>
      </w:r>
      <w:r>
        <w:t>↑</w:t>
      </w:r>
      <w:r>
        <w:br/>
      </w:r>
      <w:r>
        <w:t>100                                       44</w:t>
      </w:r>
      <w:r>
        <w:br/>
      </w:r>
      <w:r>
        <w:t>  x                                         4.4g</w:t>
      </w:r>
      <w:r>
        <w:br/>
      </w:r>
      <m:oMath>
        <m:f>
          <m:num>
            <m:r>
              <m:t>100</m:t>
            </m:r>
          </m:num>
          <m:den>
            <m:r>
              <m:t>44</m:t>
            </m:r>
          </m:den>
        </m:f>
        <m:r>
          <m:t>=</m:t>
        </m:r>
        <m:f>
          <m:num>
            <m:r>
              <m:t>x</m:t>
            </m:r>
          </m:num>
          <m:den>
            <m:r>
              <m:t>4.4g</m:t>
            </m:r>
          </m:den>
        </m:f>
      </m:oMath>
      <w:r>
        <w:t>，x=10g</w:t>
      </w:r>
      <w:r>
        <w:br/>
      </w:r>
      <w:r>
        <w:t>此石灰石中碳酸钙的质量分数为：</w:t>
      </w:r>
      <m:oMath>
        <m:f>
          <m:num>
            <m:r>
              <m:t>10g</m:t>
            </m:r>
          </m:num>
          <m:den>
            <m:r>
              <m:t>12g</m:t>
            </m:r>
          </m:den>
        </m:f>
      </m:oMath>
      <w:r>
        <w:t>×100%≈83.3%</w:t>
      </w:r>
      <w:r>
        <w:br/>
      </w:r>
      <w:r>
        <w:t>答：该石灰石中碳酸钙的质量分数为83.3%．</w:t>
      </w:r>
      <w:r>
        <w:br/>
      </w:r>
      <w:r>
        <w:t>（1）根据质量守恒定律可知：反应后比反应前减少的质量是生成二氧化碳的质量；</w:t>
      </w:r>
      <w:r>
        <w:br/>
      </w:r>
      <w:r>
        <w:t>（2）根据化学方程式由二氧化碳的质量可以计算出石灰石中碳酸钙的质量，进而计算出石灰石中碳酸钙的质量分数．</w:t>
      </w:r>
      <w:r>
        <w:br/>
      </w:r>
      <w:r>
        <w:t>本题主要考查有关化学方程式的计算和质量分数的计算，难度较小．</w:t>
      </w:r>
    </w:p>
    <w:p>
      <w:pPr>
        <w:pStyle w:val="BodyText"/>
      </w:pPr>
      <w:r>
        <w:br/>
      </w:r>
    </w:p>
    <w:sectPr>
      <w:headerReference w:type="default" r:id="rId23"/>
      <w:footerReference w:type="even" r:id="rId24"/>
      <w:footerReference w:type="default" r:id="rId25"/>
      <w:headerReference w:type="first" r:id="rId26"/>
      <w:footerReference w:type="first" r:id="rId27"/>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0E821408"/>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semiHidden="0" w:unhideWhenUsed="0"/>
    <w:lsdException w:name="Body Text 2" w:uiPriority="0"/>
    <w:lsdException w:name="Body Text 3" w:uiPriority="0"/>
    <w:lsdException w:name="Body Text Indent 2" w:uiPriority="0"/>
    <w:lsdException w:name="Body Text Indent 3" w:uiPriority="0"/>
    <w:lsdException w:name="Block Text" w:uiPriority="0"/>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header" Target="header1.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header" Target="header2.xml" /><Relationship Id="rId27" Type="http://schemas.openxmlformats.org/officeDocument/2006/relationships/footer" Target="footer3.xml" /><Relationship Id="rId28" Type="http://schemas.openxmlformats.org/officeDocument/2006/relationships/theme" Target="theme/theme1.xml" /><Relationship Id="rId29" Type="http://schemas.openxmlformats.org/officeDocument/2006/relationships/numbering" Target="numbering.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2020-04-04T14:59:00Z</dcterms:created>
  <dcterms:modified xsi:type="dcterms:W3CDTF">2020-04-05T13:51:56Z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