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D6755F">
      <w:pPr>
        <w:pStyle w:val="BodyText"/>
        <w:rPr>
          <w:rFonts w:ascii="Calibri" w:eastAsia="Calibri"/>
        </w:rPr>
      </w:pPr>
      <w:r>
        <w:rPr>
          <w:rFonts w:ascii="Calibri" w:eastAsia="Calibri"/>
          <w:w w:val="9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29pt;margin-top:892pt;margin-left:98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bookmarkEnd w:id="0"/>
      <w:r>
        <w:rPr>
          <w:rFonts w:ascii="Calibri" w:eastAsia="Calibri"/>
          <w:w w:val="95"/>
        </w:rPr>
        <w:t>1</w:t>
      </w:r>
      <w:r>
        <w:rPr>
          <w:w w:val="95"/>
        </w:rPr>
        <w:t>、</w:t>
      </w:r>
      <w:r>
        <w:rPr>
          <w:rFonts w:ascii="Calibri" w:eastAsia="Calibri"/>
          <w:w w:val="95"/>
        </w:rPr>
        <w:t>C</w:t>
      </w:r>
    </w:p>
    <w:p w:rsidR="00D6755F">
      <w:pPr>
        <w:pStyle w:val="BodyText"/>
        <w:rPr>
          <w:rFonts w:ascii="Calibri" w:eastAsia="Calibri"/>
        </w:rPr>
      </w:pPr>
      <w:r>
        <w:rPr>
          <w:rFonts w:ascii="Calibri" w:eastAsia="Calibri"/>
          <w:w w:val="95"/>
        </w:rPr>
        <w:t>2</w:t>
      </w:r>
      <w:r>
        <w:rPr>
          <w:w w:val="95"/>
        </w:rPr>
        <w:t>、</w:t>
      </w:r>
      <w:r>
        <w:rPr>
          <w:rFonts w:ascii="Calibri" w:eastAsia="Calibri"/>
          <w:w w:val="95"/>
        </w:rPr>
        <w:t>D</w:t>
      </w:r>
    </w:p>
    <w:p w:rsidR="00D6755F">
      <w:pPr>
        <w:pStyle w:val="BodyText"/>
        <w:rPr>
          <w:rFonts w:ascii="Calibri" w:eastAsia="Calibri"/>
        </w:rPr>
      </w:pPr>
      <w:r>
        <w:rPr>
          <w:rFonts w:ascii="Calibri" w:eastAsia="Calibri"/>
          <w:w w:val="95"/>
        </w:rPr>
        <w:t>3</w:t>
      </w:r>
      <w:r>
        <w:rPr>
          <w:w w:val="95"/>
        </w:rPr>
        <w:t>、</w:t>
      </w:r>
      <w:r>
        <w:rPr>
          <w:rFonts w:ascii="Calibri" w:eastAsia="Calibri"/>
          <w:w w:val="95"/>
        </w:rPr>
        <w:t>A</w:t>
      </w:r>
    </w:p>
    <w:p w:rsidR="00D6755F">
      <w:pPr>
        <w:pStyle w:val="BodyText"/>
        <w:rPr>
          <w:rFonts w:ascii="Calibri" w:eastAsia="Calibri"/>
        </w:rPr>
      </w:pPr>
      <w:r>
        <w:rPr>
          <w:rFonts w:ascii="Calibri" w:eastAsia="Calibri"/>
          <w:w w:val="95"/>
        </w:rPr>
        <w:t>4</w:t>
      </w:r>
      <w:r>
        <w:rPr>
          <w:w w:val="95"/>
        </w:rPr>
        <w:t>、</w:t>
      </w:r>
      <w:r>
        <w:rPr>
          <w:rFonts w:ascii="Calibri" w:eastAsia="Calibri"/>
          <w:w w:val="95"/>
        </w:rPr>
        <w:t>C</w:t>
      </w:r>
    </w:p>
    <w:p w:rsidR="00D6755F">
      <w:pPr>
        <w:pStyle w:val="BodyText"/>
        <w:rPr>
          <w:rFonts w:ascii="Calibri" w:eastAsia="Calibri"/>
        </w:rPr>
      </w:pPr>
      <w:r>
        <w:rPr>
          <w:rFonts w:ascii="Calibri" w:eastAsia="Calibri"/>
          <w:w w:val="95"/>
        </w:rPr>
        <w:t>5</w:t>
      </w:r>
      <w:r>
        <w:rPr>
          <w:w w:val="95"/>
        </w:rPr>
        <w:t>、</w:t>
      </w:r>
      <w:r>
        <w:rPr>
          <w:rFonts w:ascii="Calibri" w:eastAsia="Calibri"/>
          <w:w w:val="95"/>
        </w:rPr>
        <w:t>D</w:t>
      </w:r>
    </w:p>
    <w:p w:rsidR="00D6755F">
      <w:pPr>
        <w:pStyle w:val="BodyText"/>
        <w:rPr>
          <w:rFonts w:ascii="Calibri" w:eastAsia="Calibri"/>
        </w:rPr>
      </w:pPr>
      <w:r>
        <w:rPr>
          <w:rFonts w:ascii="Calibri" w:eastAsia="Calibri"/>
          <w:w w:val="95"/>
        </w:rPr>
        <w:t>6</w:t>
      </w:r>
      <w:r>
        <w:rPr>
          <w:w w:val="95"/>
        </w:rPr>
        <w:t>、</w:t>
      </w:r>
      <w:r>
        <w:rPr>
          <w:rFonts w:ascii="Calibri" w:eastAsia="Calibri"/>
          <w:w w:val="95"/>
        </w:rPr>
        <w:t>B</w:t>
      </w:r>
    </w:p>
    <w:p w:rsidR="00D6755F">
      <w:pPr>
        <w:pStyle w:val="BodyText"/>
        <w:spacing w:before="8"/>
        <w:rPr>
          <w:lang w:eastAsia="zh-CN"/>
        </w:rPr>
      </w:pPr>
      <w:r>
        <w:rPr>
          <w:rFonts w:ascii="Calibri" w:eastAsia="Calibri"/>
          <w:w w:val="95"/>
          <w:lang w:eastAsia="zh-CN"/>
        </w:rPr>
        <w:t>7</w:t>
      </w:r>
      <w:r>
        <w:rPr>
          <w:w w:val="95"/>
          <w:lang w:eastAsia="zh-CN"/>
        </w:rPr>
        <w:t>、（</w:t>
      </w:r>
      <w:r>
        <w:rPr>
          <w:rFonts w:ascii="Calibri" w:eastAsia="Calibri"/>
          <w:w w:val="95"/>
          <w:lang w:eastAsia="zh-CN"/>
        </w:rPr>
        <w:t>1</w:t>
      </w:r>
      <w:r>
        <w:rPr>
          <w:w w:val="95"/>
          <w:lang w:eastAsia="zh-CN"/>
        </w:rPr>
        <w:t>）江春入旧年</w:t>
      </w:r>
    </w:p>
    <w:p w:rsidR="00D6755F">
      <w:pPr>
        <w:pStyle w:val="BodyText"/>
        <w:ind w:left="540"/>
        <w:rPr>
          <w:lang w:eastAsia="zh-CN"/>
        </w:rPr>
      </w:pPr>
      <w:r>
        <w:rPr>
          <w:w w:val="95"/>
          <w:lang w:eastAsia="zh-CN"/>
        </w:rPr>
        <w:t>（</w:t>
      </w:r>
      <w:r>
        <w:rPr>
          <w:rFonts w:ascii="Calibri" w:eastAsia="Calibri"/>
          <w:w w:val="95"/>
          <w:lang w:eastAsia="zh-CN"/>
        </w:rPr>
        <w:t>2</w:t>
      </w:r>
      <w:r>
        <w:rPr>
          <w:w w:val="95"/>
          <w:lang w:eastAsia="zh-CN"/>
        </w:rPr>
        <w:t>）晴川历历汉阳树</w:t>
      </w:r>
    </w:p>
    <w:p w:rsidR="00D6755F">
      <w:pPr>
        <w:pStyle w:val="BodyText"/>
        <w:ind w:left="540"/>
        <w:rPr>
          <w:lang w:eastAsia="zh-CN"/>
        </w:rPr>
      </w:pPr>
      <w:r>
        <w:rPr>
          <w:w w:val="95"/>
          <w:lang w:eastAsia="zh-CN"/>
        </w:rPr>
        <w:t>（</w:t>
      </w:r>
      <w:r>
        <w:rPr>
          <w:rFonts w:ascii="Calibri" w:eastAsia="Calibri"/>
          <w:w w:val="95"/>
          <w:lang w:eastAsia="zh-CN"/>
        </w:rPr>
        <w:t>3</w:t>
      </w:r>
      <w:r>
        <w:rPr>
          <w:w w:val="95"/>
          <w:lang w:eastAsia="zh-CN"/>
        </w:rPr>
        <w:t>）老夫聊发少年狂</w:t>
      </w:r>
    </w:p>
    <w:p w:rsidR="00D6755F">
      <w:pPr>
        <w:pStyle w:val="BodyText"/>
        <w:ind w:left="540"/>
        <w:rPr>
          <w:lang w:eastAsia="zh-CN"/>
        </w:rPr>
      </w:pPr>
      <w:r>
        <w:rPr>
          <w:w w:val="95"/>
          <w:lang w:eastAsia="zh-CN"/>
        </w:rPr>
        <w:t>（</w:t>
      </w:r>
      <w:r>
        <w:rPr>
          <w:rFonts w:ascii="Calibri" w:eastAsia="Calibri"/>
          <w:w w:val="95"/>
          <w:lang w:eastAsia="zh-CN"/>
        </w:rPr>
        <w:t>4</w:t>
      </w:r>
      <w:r>
        <w:rPr>
          <w:w w:val="95"/>
          <w:lang w:eastAsia="zh-CN"/>
        </w:rPr>
        <w:t>）濯清涟而不妖</w:t>
      </w:r>
    </w:p>
    <w:p w:rsidR="00D6755F">
      <w:pPr>
        <w:pStyle w:val="BodyText"/>
        <w:ind w:left="540"/>
        <w:rPr>
          <w:lang w:eastAsia="zh-CN"/>
        </w:rPr>
      </w:pPr>
      <w:r>
        <w:rPr>
          <w:w w:val="95"/>
          <w:lang w:eastAsia="zh-CN"/>
        </w:rPr>
        <w:t>（</w:t>
      </w:r>
      <w:r>
        <w:rPr>
          <w:rFonts w:ascii="Calibri" w:eastAsia="Calibri"/>
          <w:w w:val="95"/>
          <w:lang w:eastAsia="zh-CN"/>
        </w:rPr>
        <w:t>5</w:t>
      </w:r>
      <w:r>
        <w:rPr>
          <w:w w:val="95"/>
          <w:lang w:eastAsia="zh-CN"/>
        </w:rPr>
        <w:t>）北市买长鞭</w:t>
      </w:r>
    </w:p>
    <w:p w:rsidR="00D6755F">
      <w:pPr>
        <w:pStyle w:val="BodyText"/>
        <w:ind w:left="540"/>
        <w:rPr>
          <w:lang w:eastAsia="zh-CN"/>
        </w:rPr>
      </w:pPr>
      <w:r>
        <w:rPr>
          <w:w w:val="95"/>
          <w:lang w:eastAsia="zh-CN"/>
        </w:rPr>
        <w:t>（</w:t>
      </w:r>
      <w:r>
        <w:rPr>
          <w:rFonts w:ascii="Calibri" w:eastAsia="Calibri"/>
          <w:w w:val="95"/>
          <w:lang w:eastAsia="zh-CN"/>
        </w:rPr>
        <w:t>6</w:t>
      </w:r>
      <w:r>
        <w:rPr>
          <w:w w:val="95"/>
          <w:lang w:eastAsia="zh-CN"/>
        </w:rPr>
        <w:t>）千里共婵娟</w:t>
      </w:r>
    </w:p>
    <w:p w:rsidR="00D6755F">
      <w:pPr>
        <w:pStyle w:val="BodyText"/>
        <w:ind w:left="540"/>
        <w:rPr>
          <w:lang w:eastAsia="zh-CN"/>
        </w:rPr>
      </w:pPr>
      <w:r>
        <w:rPr>
          <w:w w:val="95"/>
          <w:lang w:eastAsia="zh-CN"/>
        </w:rPr>
        <w:t>（</w:t>
      </w:r>
      <w:r>
        <w:rPr>
          <w:rFonts w:ascii="Calibri" w:eastAsia="Calibri"/>
          <w:w w:val="95"/>
          <w:lang w:eastAsia="zh-CN"/>
        </w:rPr>
        <w:t>7</w:t>
      </w:r>
      <w:r>
        <w:rPr>
          <w:w w:val="95"/>
          <w:lang w:eastAsia="zh-CN"/>
        </w:rPr>
        <w:t>）病树前头万木春</w:t>
      </w:r>
    </w:p>
    <w:p w:rsidR="00D6755F">
      <w:pPr>
        <w:pStyle w:val="BodyText"/>
        <w:tabs>
          <w:tab w:val="left" w:pos="1696"/>
        </w:tabs>
        <w:rPr>
          <w:lang w:eastAsia="zh-CN"/>
        </w:rPr>
      </w:pPr>
      <w:r>
        <w:rPr>
          <w:rFonts w:ascii="Calibri" w:eastAsia="Calibri"/>
          <w:lang w:eastAsia="zh-CN"/>
        </w:rPr>
        <w:t>8</w:t>
      </w:r>
      <w:r>
        <w:rPr>
          <w:lang w:eastAsia="zh-CN"/>
        </w:rPr>
        <w:t>、（</w:t>
      </w:r>
      <w:r>
        <w:rPr>
          <w:rFonts w:ascii="Calibri" w:eastAsia="Calibri"/>
          <w:lang w:eastAsia="zh-CN"/>
        </w:rPr>
        <w:t>1</w:t>
      </w:r>
      <w:r>
        <w:rPr>
          <w:lang w:eastAsia="zh-CN"/>
        </w:rPr>
        <w:t>）酒杯</w:t>
      </w:r>
      <w:r>
        <w:rPr>
          <w:lang w:eastAsia="zh-CN"/>
        </w:rPr>
        <w:tab/>
      </w:r>
      <w:r>
        <w:rPr>
          <w:spacing w:val="-1"/>
          <w:w w:val="95"/>
          <w:lang w:eastAsia="zh-CN"/>
        </w:rPr>
        <w:t>遮</w:t>
      </w:r>
      <w:r>
        <w:rPr>
          <w:w w:val="95"/>
          <w:lang w:eastAsia="zh-CN"/>
        </w:rPr>
        <w:t>盖</w:t>
      </w:r>
    </w:p>
    <w:p w:rsidR="00D6755F">
      <w:pPr>
        <w:pStyle w:val="BodyText"/>
        <w:ind w:left="540"/>
      </w:pPr>
      <w:r>
        <w:rPr>
          <w:w w:val="95"/>
        </w:rPr>
        <w:t>（</w:t>
      </w:r>
      <w:r>
        <w:rPr>
          <w:rFonts w:ascii="Calibri" w:eastAsia="Calibri"/>
          <w:w w:val="95"/>
        </w:rPr>
        <w:t>2</w:t>
      </w:r>
      <w:r>
        <w:rPr>
          <w:w w:val="95"/>
        </w:rPr>
        <w:t>）脸色苍老</w:t>
      </w:r>
      <w:r>
        <w:rPr>
          <w:rFonts w:ascii="Calibri" w:eastAsia="Calibri"/>
          <w:w w:val="95"/>
        </w:rPr>
        <w:t>,</w:t>
      </w:r>
      <w:r>
        <w:rPr>
          <w:w w:val="95"/>
        </w:rPr>
        <w:t>满头白发</w:t>
      </w:r>
      <w:r>
        <w:rPr>
          <w:rFonts w:ascii="Calibri" w:eastAsia="Calibri"/>
          <w:w w:val="95"/>
        </w:rPr>
        <w:t>,</w:t>
      </w:r>
      <w:r>
        <w:rPr>
          <w:w w:val="95"/>
        </w:rPr>
        <w:t>醉醺醺地坐在众人中间</w:t>
      </w:r>
      <w:r>
        <w:rPr>
          <w:rFonts w:ascii="Calibri" w:eastAsia="Calibri"/>
          <w:w w:val="95"/>
        </w:rPr>
        <w:t>,</w:t>
      </w:r>
      <w:r>
        <w:rPr>
          <w:w w:val="95"/>
        </w:rPr>
        <w:t>这是太守喝醉了。</w:t>
      </w:r>
    </w:p>
    <w:p w:rsidR="00D6755F">
      <w:pPr>
        <w:pStyle w:val="BodyText"/>
        <w:ind w:left="960"/>
      </w:pPr>
      <w:r>
        <w:rPr>
          <w:w w:val="95"/>
        </w:rPr>
        <w:t>醉了能同大家一起欢乐，醒来能用文章记述这种乐事的人，是太守啊。</w:t>
      </w:r>
    </w:p>
    <w:p w:rsidR="00D6755F">
      <w:pPr>
        <w:pStyle w:val="BodyText"/>
        <w:spacing w:before="37"/>
        <w:ind w:left="450" w:right="6761"/>
        <w:jc w:val="center"/>
      </w:pPr>
      <w:r>
        <w:rPr>
          <w:w w:val="95"/>
        </w:rPr>
        <w:t>（</w:t>
      </w:r>
      <w:r>
        <w:rPr>
          <w:rFonts w:ascii="Calibri" w:eastAsia="Calibri"/>
          <w:w w:val="95"/>
        </w:rPr>
        <w:t>3</w:t>
      </w:r>
      <w:r>
        <w:rPr>
          <w:w w:val="95"/>
        </w:rPr>
        <w:t>）与民同乐</w:t>
      </w:r>
    </w:p>
    <w:p w:rsidR="00D6755F">
      <w:pPr>
        <w:pStyle w:val="BodyText"/>
        <w:spacing w:before="5"/>
        <w:ind w:left="0"/>
        <w:rPr>
          <w:sz w:val="23"/>
        </w:rPr>
      </w:pPr>
    </w:p>
    <w:p w:rsidR="00D6755F">
      <w:pPr>
        <w:pStyle w:val="BodyText"/>
        <w:spacing w:before="0" w:line="300" w:lineRule="exact"/>
        <w:ind w:left="1080" w:right="332" w:hanging="960"/>
      </w:pPr>
      <w:r>
        <w:rPr>
          <w:rFonts w:ascii="Calibri" w:eastAsia="Calibri"/>
          <w:w w:val="95"/>
          <w:sz w:val="24"/>
        </w:rPr>
        <w:t>9</w:t>
      </w:r>
      <w:r>
        <w:rPr>
          <w:w w:val="95"/>
          <w:sz w:val="24"/>
        </w:rPr>
        <w:t>、（</w:t>
      </w:r>
      <w:r>
        <w:rPr>
          <w:rFonts w:ascii="Calibri" w:eastAsia="Calibri"/>
          <w:w w:val="95"/>
          <w:sz w:val="24"/>
        </w:rPr>
        <w:t>1</w:t>
      </w:r>
      <w:r>
        <w:rPr>
          <w:w w:val="95"/>
          <w:sz w:val="24"/>
        </w:rPr>
        <w:t>）</w:t>
      </w:r>
      <w:r>
        <w:rPr>
          <w:w w:val="95"/>
        </w:rPr>
        <w:t>文章主要从青蒿素的提取之困难、形态和治疟原理、治疟效果显著和局限不足等</w:t>
      </w:r>
      <w:r>
        <w:rPr>
          <w:w w:val="95"/>
        </w:rPr>
        <w:t xml:space="preserve">   </w:t>
      </w:r>
      <w:r>
        <w:rPr>
          <w:w w:val="95"/>
        </w:rPr>
        <w:t>方面来描写的。</w:t>
      </w:r>
    </w:p>
    <w:p w:rsidR="00D6755F">
      <w:pPr>
        <w:pStyle w:val="BodyText"/>
        <w:spacing w:before="2"/>
        <w:ind w:left="0"/>
        <w:rPr>
          <w:sz w:val="22"/>
        </w:rPr>
      </w:pPr>
    </w:p>
    <w:p w:rsidR="00D6755F">
      <w:pPr>
        <w:pStyle w:val="BodyText"/>
        <w:spacing w:before="0"/>
        <w:ind w:left="540"/>
      </w:pPr>
      <w:r>
        <w:rPr>
          <w:w w:val="95"/>
        </w:rPr>
        <w:t>（</w:t>
      </w:r>
      <w:r>
        <w:rPr>
          <w:rFonts w:ascii="Calibri" w:eastAsia="Calibri"/>
          <w:w w:val="95"/>
        </w:rPr>
        <w:t>2</w:t>
      </w:r>
      <w:r>
        <w:rPr>
          <w:w w:val="95"/>
        </w:rPr>
        <w:t>）点题，与题目呼应，为下文做铺垫，统领全文，引起下文。</w:t>
      </w:r>
    </w:p>
    <w:p w:rsidR="00D6755F">
      <w:pPr>
        <w:pStyle w:val="BodyText"/>
        <w:spacing w:before="0"/>
        <w:ind w:left="0"/>
        <w:rPr>
          <w:sz w:val="22"/>
        </w:rPr>
      </w:pPr>
    </w:p>
    <w:p w:rsidR="00D6755F">
      <w:pPr>
        <w:pStyle w:val="BodyText"/>
        <w:spacing w:before="1" w:line="247" w:lineRule="auto"/>
        <w:ind w:left="1168" w:right="332" w:hanging="629"/>
      </w:pPr>
      <w:r>
        <w:rPr>
          <w:w w:val="95"/>
        </w:rPr>
        <w:t>（</w:t>
      </w:r>
      <w:r>
        <w:rPr>
          <w:rFonts w:ascii="Calibri" w:eastAsia="Calibri"/>
          <w:w w:val="95"/>
        </w:rPr>
        <w:t>3</w:t>
      </w:r>
      <w:r>
        <w:rPr>
          <w:w w:val="95"/>
        </w:rPr>
        <w:t>）用举例子的方法表现了青蒿素治疟的效果显著，使文章表达的意思更明确，更生</w:t>
      </w:r>
      <w:r>
        <w:rPr>
          <w:w w:val="95"/>
        </w:rPr>
        <w:t xml:space="preserve">   </w:t>
      </w:r>
      <w:r>
        <w:rPr>
          <w:w w:val="95"/>
        </w:rPr>
        <w:t>动形象，读者更明白，增强说服力。</w:t>
      </w:r>
    </w:p>
    <w:p w:rsidR="00D6755F">
      <w:pPr>
        <w:pStyle w:val="BodyText"/>
        <w:ind w:left="0"/>
        <w:rPr>
          <w:sz w:val="23"/>
        </w:rPr>
      </w:pPr>
    </w:p>
    <w:p w:rsidR="00D6755F">
      <w:pPr>
        <w:pStyle w:val="BodyText"/>
        <w:spacing w:before="1" w:line="259" w:lineRule="auto"/>
        <w:ind w:left="1168" w:right="119" w:hanging="629"/>
        <w:jc w:val="both"/>
      </w:pPr>
      <w:r>
        <w:rPr>
          <w:spacing w:val="-16"/>
        </w:rPr>
        <w:t>（</w:t>
      </w:r>
      <w:r>
        <w:rPr>
          <w:rFonts w:ascii="Calibri" w:eastAsia="Calibri" w:hAnsi="Calibri"/>
          <w:spacing w:val="-16"/>
        </w:rPr>
        <w:t>4</w:t>
      </w:r>
      <w:r>
        <w:rPr>
          <w:spacing w:val="-16"/>
        </w:rPr>
        <w:t>）</w:t>
      </w:r>
      <w:r>
        <w:rPr>
          <w:spacing w:val="-5"/>
        </w:rPr>
        <w:t>人工合成青蒿素的研究回报率极低，</w:t>
      </w:r>
      <w:r>
        <w:rPr>
          <w:spacing w:val="-5"/>
        </w:rPr>
        <w:t xml:space="preserve"> </w:t>
      </w:r>
      <w:r>
        <w:rPr>
          <w:spacing w:val="-5"/>
        </w:rPr>
        <w:t>虽然国内很多化学公司进行了长达</w:t>
      </w:r>
      <w:r>
        <w:rPr>
          <w:spacing w:val="-5"/>
        </w:rPr>
        <w:t xml:space="preserve"> </w:t>
      </w:r>
      <w:r>
        <w:rPr>
          <w:rFonts w:ascii="Calibri" w:eastAsia="Calibri" w:hAnsi="Calibri"/>
        </w:rPr>
        <w:t xml:space="preserve">30 </w:t>
      </w:r>
      <w:r>
        <w:t>多年</w:t>
      </w:r>
      <w:r>
        <w:rPr>
          <w:spacing w:val="-1"/>
        </w:rPr>
        <w:t>的合成研究，但仍无过多进展，</w:t>
      </w:r>
      <w:r>
        <w:rPr>
          <w:spacing w:val="-1"/>
        </w:rPr>
        <w:t xml:space="preserve"> “</w:t>
      </w:r>
      <w:r>
        <w:rPr>
          <w:spacing w:val="-1"/>
        </w:rPr>
        <w:t>目前</w:t>
      </w:r>
      <w:r>
        <w:rPr>
          <w:spacing w:val="-1"/>
        </w:rPr>
        <w:t>”</w:t>
      </w:r>
      <w:r>
        <w:rPr>
          <w:spacing w:val="-1"/>
        </w:rPr>
        <w:t>表现了人工合成青蒿素的工作任重而</w:t>
      </w:r>
      <w:r>
        <w:rPr>
          <w:spacing w:val="-1"/>
          <w:w w:val="95"/>
        </w:rPr>
        <w:t>道远。</w:t>
      </w:r>
    </w:p>
    <w:p w:rsidR="00D6755F">
      <w:pPr>
        <w:pStyle w:val="BodyText"/>
        <w:spacing w:before="11"/>
        <w:ind w:left="0"/>
        <w:rPr>
          <w:sz w:val="26"/>
        </w:rPr>
      </w:pPr>
    </w:p>
    <w:p w:rsidR="00D6755F">
      <w:pPr>
        <w:pStyle w:val="BodyText"/>
        <w:spacing w:before="0" w:line="280" w:lineRule="auto"/>
        <w:ind w:left="960" w:right="117" w:hanging="840"/>
        <w:jc w:val="both"/>
      </w:pPr>
      <w:r>
        <w:rPr>
          <w:rFonts w:ascii="Calibri" w:eastAsia="Calibri" w:hAnsi="Calibri"/>
        </w:rPr>
        <w:t>10</w:t>
      </w:r>
      <w:r>
        <w:t>、（</w:t>
      </w:r>
      <w:r>
        <w:rPr>
          <w:rFonts w:ascii="Calibri" w:eastAsia="Calibri" w:hAnsi="Calibri"/>
        </w:rPr>
        <w:t>1</w:t>
      </w:r>
      <w:r>
        <w:t>）</w:t>
      </w:r>
      <w:r>
        <w:t>①</w:t>
      </w:r>
      <w:r>
        <w:t>文中两次写宗瑜夫人对他不满，都是为了衬托宗瑜这一人物形象。</w:t>
      </w:r>
      <w:r>
        <w:t>②</w:t>
      </w:r>
      <w:r>
        <w:t>第一次是</w:t>
      </w:r>
      <w:r>
        <w:rPr>
          <w:spacing w:val="-4"/>
          <w:w w:val="95"/>
        </w:rPr>
        <w:t>以宗瑜夫人的难耐清贫突出宗瑜的淡泊自守与旷达坦然。</w:t>
      </w:r>
      <w:r>
        <w:rPr>
          <w:spacing w:val="-4"/>
          <w:w w:val="95"/>
        </w:rPr>
        <w:t>③</w:t>
      </w:r>
      <w:r>
        <w:rPr>
          <w:spacing w:val="-4"/>
          <w:w w:val="95"/>
        </w:rPr>
        <w:t>第二次是以宗瑜夫人抱</w:t>
      </w:r>
      <w:r>
        <w:rPr>
          <w:spacing w:val="-4"/>
          <w:w w:val="95"/>
        </w:rPr>
        <w:t xml:space="preserve">  </w:t>
      </w:r>
      <w:r>
        <w:rPr>
          <w:spacing w:val="-4"/>
          <w:w w:val="95"/>
        </w:rPr>
        <w:t>怨宗瑜过于清高迂腐，从而进一步突出宗瑜的不慕名利。</w:t>
      </w:r>
    </w:p>
    <w:p w:rsidR="00D6755F">
      <w:pPr>
        <w:pStyle w:val="BodyText"/>
        <w:spacing w:before="30" w:line="297" w:lineRule="auto"/>
        <w:ind w:left="960" w:right="117" w:hanging="526"/>
        <w:jc w:val="both"/>
      </w:pPr>
      <w:r>
        <w:rPr>
          <w:spacing w:val="-10"/>
          <w:w w:val="95"/>
        </w:rPr>
        <w:t>（</w:t>
      </w:r>
      <w:r>
        <w:rPr>
          <w:spacing w:val="-10"/>
          <w:w w:val="95"/>
        </w:rPr>
        <w:t>2</w:t>
      </w:r>
      <w:r>
        <w:rPr>
          <w:spacing w:val="-10"/>
          <w:w w:val="95"/>
        </w:rPr>
        <w:t>）</w:t>
      </w:r>
      <w:r>
        <w:rPr>
          <w:spacing w:val="-3"/>
          <w:w w:val="95"/>
        </w:rPr>
        <w:t>宗瑜是一位坚守职业道德的中医抓药的人。他有如下性格特点</w:t>
      </w:r>
      <w:r>
        <w:rPr>
          <w:spacing w:val="-3"/>
          <w:w w:val="95"/>
        </w:rPr>
        <w:t>①</w:t>
      </w:r>
      <w:r>
        <w:rPr>
          <w:spacing w:val="-3"/>
          <w:w w:val="95"/>
        </w:rPr>
        <w:t>淡泊自守，旷达坦</w:t>
      </w:r>
      <w:r>
        <w:rPr>
          <w:spacing w:val="-3"/>
          <w:w w:val="95"/>
        </w:rPr>
        <w:t xml:space="preserve">   </w:t>
      </w:r>
      <w:r>
        <w:rPr>
          <w:spacing w:val="-7"/>
          <w:w w:val="95"/>
        </w:rPr>
        <w:t>然</w:t>
      </w:r>
      <w:r>
        <w:rPr>
          <w:spacing w:val="-7"/>
          <w:w w:val="95"/>
        </w:rPr>
        <w:t>②</w:t>
      </w:r>
      <w:r>
        <w:rPr>
          <w:spacing w:val="-7"/>
          <w:w w:val="95"/>
        </w:rPr>
        <w:t>不慕名利</w:t>
      </w:r>
      <w:r>
        <w:rPr>
          <w:spacing w:val="-7"/>
          <w:w w:val="95"/>
        </w:rPr>
        <w:t>③</w:t>
      </w:r>
      <w:r>
        <w:rPr>
          <w:spacing w:val="-7"/>
          <w:w w:val="95"/>
        </w:rPr>
        <w:t>对传统医德的坚守与对责任的担当，如答出重视药材来源，心静如</w:t>
      </w:r>
      <w:r>
        <w:rPr>
          <w:spacing w:val="-7"/>
          <w:w w:val="95"/>
        </w:rPr>
        <w:t xml:space="preserve">  </w:t>
      </w:r>
      <w:r>
        <w:rPr>
          <w:spacing w:val="-7"/>
          <w:w w:val="95"/>
        </w:rPr>
        <w:t>水等，言之有理也可给分。</w:t>
      </w:r>
    </w:p>
    <w:p w:rsidR="00D6755F">
      <w:pPr>
        <w:pStyle w:val="BodyText"/>
        <w:spacing w:before="15" w:line="297" w:lineRule="auto"/>
        <w:ind w:left="960" w:right="117" w:hanging="420"/>
        <w:jc w:val="both"/>
      </w:pPr>
      <w:r>
        <w:t>（</w:t>
      </w:r>
      <w:r>
        <w:t>3</w:t>
      </w:r>
      <w:r>
        <w:t>）文章的题目《一把抓》本意是抓药材很准，引深意是水平和医德一样重要，既突</w:t>
      </w:r>
      <w:r>
        <w:rPr>
          <w:spacing w:val="-4"/>
          <w:w w:val="95"/>
        </w:rPr>
        <w:t>出了宗瑜抓药技能的高超又体现了传统医德的呼唤这一主</w:t>
      </w:r>
      <w:r>
        <w:rPr>
          <w:spacing w:val="-4"/>
          <w:w w:val="95"/>
        </w:rPr>
        <w:t>题。同时文章多次提到了</w:t>
      </w:r>
      <w:r>
        <w:rPr>
          <w:spacing w:val="-4"/>
          <w:w w:val="95"/>
        </w:rPr>
        <w:t xml:space="preserve">  </w:t>
      </w:r>
      <w:r>
        <w:rPr>
          <w:spacing w:val="-10"/>
          <w:w w:val="95"/>
        </w:rPr>
        <w:t>一把抓，既引起下文又是全文的线索。内容上吸引读者阅读兴趣，我们想知道什么</w:t>
      </w:r>
      <w:r>
        <w:rPr>
          <w:spacing w:val="-10"/>
          <w:w w:val="95"/>
        </w:rPr>
        <w:t xml:space="preserve">  </w:t>
      </w:r>
      <w:r>
        <w:rPr>
          <w:spacing w:val="-10"/>
          <w:w w:val="95"/>
        </w:rPr>
        <w:t>是一把抓。结构上引起下文。</w:t>
      </w:r>
    </w:p>
    <w:p w:rsidR="00D6755F">
      <w:pPr>
        <w:pStyle w:val="BodyText"/>
        <w:spacing w:before="15"/>
        <w:ind w:left="540"/>
      </w:pPr>
      <w:r>
        <w:rPr>
          <w:w w:val="95"/>
        </w:rPr>
        <w:t>（</w:t>
      </w:r>
      <w:r>
        <w:rPr>
          <w:w w:val="95"/>
        </w:rPr>
        <w:t>4</w:t>
      </w:r>
      <w:r>
        <w:rPr>
          <w:w w:val="95"/>
        </w:rPr>
        <w:t>）对传统医德的呼唤这一主旨，呼唤从医人员要做到有大爱。</w:t>
      </w:r>
    </w:p>
    <w:p w:rsidR="00D6755F">
      <w:pPr>
        <w:pStyle w:val="BodyText"/>
        <w:spacing w:before="64" w:line="297" w:lineRule="auto"/>
        <w:ind w:left="1168" w:right="116" w:hanging="629"/>
      </w:pPr>
      <w:r>
        <w:t>（</w:t>
      </w:r>
      <w:r>
        <w:t>5</w:t>
      </w:r>
      <w:r>
        <w:t>）内容上使文章结构更完整，结构上呼应前文，描写上突出了主人公的形象特点，</w:t>
      </w:r>
      <w:r>
        <w:t xml:space="preserve"> </w:t>
      </w:r>
      <w:r>
        <w:rPr>
          <w:w w:val="95"/>
        </w:rPr>
        <w:t>让主人公形象更具体更有生命力，主旨上突出了呼唤医德，人间应有爱的的中心</w:t>
      </w:r>
    </w:p>
    <w:p w:rsidR="00D6755F">
      <w:pPr>
        <w:spacing w:line="297" w:lineRule="auto"/>
        <w:sectPr>
          <w:type w:val="continuous"/>
          <w:pgSz w:w="11910" w:h="16840"/>
          <w:pgMar w:top="1400" w:right="1680" w:bottom="280" w:left="1680" w:header="720" w:footer="720" w:gutter="0"/>
          <w:cols w:space="720"/>
        </w:sectPr>
      </w:pPr>
    </w:p>
    <w:p w:rsidR="00D6755F">
      <w:pPr>
        <w:pStyle w:val="BodyText"/>
        <w:spacing w:before="16"/>
        <w:ind w:left="1168"/>
      </w:pPr>
      <w:r>
        <w:rPr>
          <w:w w:val="95"/>
        </w:rPr>
        <w:t>思想。</w:t>
      </w:r>
    </w:p>
    <w:p w:rsidR="00D6755F">
      <w:pPr>
        <w:pStyle w:val="BodyText"/>
        <w:spacing w:before="63" w:line="298" w:lineRule="exact"/>
      </w:pPr>
      <w:r>
        <w:t>11</w:t>
      </w:r>
      <w:r>
        <w:t>、（</w:t>
      </w:r>
      <w:r>
        <w:t>1</w:t>
      </w:r>
      <w:r>
        <w:t>）（</w:t>
      </w:r>
      <w:r>
        <w:rPr>
          <w:rFonts w:ascii="Calibri" w:eastAsia="Calibri"/>
        </w:rPr>
        <w:t xml:space="preserve">2 </w:t>
      </w:r>
      <w:r>
        <w:t>分）自信可以促使人成功。</w:t>
      </w:r>
    </w:p>
    <w:p w:rsidR="00D6755F">
      <w:pPr>
        <w:pStyle w:val="BodyText"/>
        <w:spacing w:before="0" w:line="247" w:lineRule="auto"/>
        <w:ind w:firstLine="420"/>
      </w:pPr>
      <w:r>
        <w:t>（</w:t>
      </w:r>
      <w:r>
        <w:rPr>
          <w:rFonts w:ascii="Calibri" w:eastAsia="Calibri"/>
        </w:rPr>
        <w:t>2</w:t>
      </w:r>
      <w:r>
        <w:t>）（</w:t>
      </w:r>
      <w:r>
        <w:rPr>
          <w:rFonts w:ascii="Calibri" w:eastAsia="Calibri"/>
        </w:rPr>
        <w:t xml:space="preserve">3 </w:t>
      </w:r>
      <w:r>
        <w:t>分）运用排比的修辞方法，（</w:t>
      </w:r>
      <w:r>
        <w:rPr>
          <w:rFonts w:ascii="Calibri" w:eastAsia="Calibri"/>
        </w:rPr>
        <w:t xml:space="preserve">1 </w:t>
      </w:r>
      <w:r>
        <w:t>分）增强语势，增强说服力，（</w:t>
      </w:r>
      <w:r>
        <w:rPr>
          <w:rFonts w:ascii="Calibri" w:eastAsia="Calibri"/>
        </w:rPr>
        <w:t xml:space="preserve">1 </w:t>
      </w:r>
      <w:r>
        <w:t>分）有力地论证了自信能让人化缺点为优点的观点（进而证明文章的中心论点）。（</w:t>
      </w:r>
      <w:r>
        <w:rPr>
          <w:rFonts w:ascii="Calibri" w:eastAsia="Calibri"/>
        </w:rPr>
        <w:t xml:space="preserve">1 </w:t>
      </w:r>
      <w:r>
        <w:t>分）</w:t>
      </w:r>
    </w:p>
    <w:p w:rsidR="00D6755F">
      <w:pPr>
        <w:pStyle w:val="BodyText"/>
        <w:spacing w:before="8" w:line="247" w:lineRule="auto"/>
        <w:ind w:firstLine="420"/>
      </w:pPr>
      <w:r>
        <w:t>（</w:t>
      </w:r>
      <w:r>
        <w:rPr>
          <w:rFonts w:ascii="Calibri" w:eastAsia="Calibri"/>
        </w:rPr>
        <w:t>3</w:t>
      </w:r>
      <w:r>
        <w:t>）（</w:t>
      </w:r>
      <w:r>
        <w:rPr>
          <w:rFonts w:ascii="Calibri" w:eastAsia="Calibri"/>
        </w:rPr>
        <w:t xml:space="preserve">3 </w:t>
      </w:r>
      <w:r>
        <w:t>分）运用举例论证（</w:t>
      </w:r>
      <w:r>
        <w:rPr>
          <w:rFonts w:ascii="Calibri" w:eastAsia="Calibri"/>
        </w:rPr>
        <w:t xml:space="preserve">1 </w:t>
      </w:r>
      <w:r>
        <w:t>分）和对比论证（</w:t>
      </w:r>
      <w:r>
        <w:rPr>
          <w:rFonts w:ascii="Calibri" w:eastAsia="Calibri"/>
        </w:rPr>
        <w:t xml:space="preserve">1 </w:t>
      </w:r>
      <w:r>
        <w:t>分），具体有力突出论证了自信的人勇气更足，更容易取得成功（胜利）。（</w:t>
      </w:r>
      <w:r>
        <w:rPr>
          <w:rFonts w:ascii="Calibri" w:eastAsia="Calibri"/>
        </w:rPr>
        <w:t xml:space="preserve">1 </w:t>
      </w:r>
      <w:r>
        <w:t>分）</w:t>
      </w:r>
    </w:p>
    <w:p w:rsidR="00D6755F">
      <w:pPr>
        <w:pStyle w:val="BodyText"/>
        <w:spacing w:before="4" w:line="247" w:lineRule="auto"/>
        <w:ind w:right="90" w:firstLine="420"/>
      </w:pPr>
      <w:r>
        <w:t>（</w:t>
      </w:r>
      <w:r>
        <w:rPr>
          <w:rFonts w:ascii="Calibri" w:eastAsia="Calibri"/>
        </w:rPr>
        <w:t>4</w:t>
      </w:r>
      <w:r>
        <w:t>）（</w:t>
      </w:r>
      <w:r>
        <w:rPr>
          <w:rFonts w:ascii="Calibri" w:eastAsia="Calibri"/>
        </w:rPr>
        <w:t xml:space="preserve">3 </w:t>
      </w:r>
      <w:r>
        <w:t>分）示例：文学家莫言虽然最初只有小学文化，但他对自己从事文学创作所</w:t>
      </w:r>
      <w:r>
        <w:rPr>
          <w:w w:val="95"/>
        </w:rPr>
        <w:t>需要的记忆力和想象力充满自信，促使其创作出风格独特的作品，从而获得诺贝尔文学奖。</w:t>
      </w:r>
    </w:p>
    <w:p w:rsidR="00D6755F">
      <w:pPr>
        <w:pStyle w:val="BodyText"/>
        <w:spacing w:before="33" w:line="247" w:lineRule="auto"/>
        <w:ind w:right="90"/>
      </w:pPr>
      <w:r>
        <w:t>（要点：所举人物必须有代表性，自信体现具体，</w:t>
      </w:r>
      <w:r>
        <w:rPr>
          <w:rFonts w:ascii="Calibri" w:eastAsia="Calibri"/>
        </w:rPr>
        <w:t xml:space="preserve">1 </w:t>
      </w:r>
      <w:r>
        <w:t>分，因自信促其成功获得成就，</w:t>
      </w:r>
      <w:r>
        <w:rPr>
          <w:rFonts w:ascii="Calibri" w:eastAsia="Calibri"/>
        </w:rPr>
        <w:t xml:space="preserve">1 </w:t>
      </w:r>
      <w:r>
        <w:t>分，</w:t>
      </w:r>
      <w:r>
        <w:t xml:space="preserve"> </w:t>
      </w:r>
      <w:r>
        <w:t>语言通顺，</w:t>
      </w:r>
      <w:r>
        <w:rPr>
          <w:rFonts w:ascii="Calibri" w:eastAsia="Calibri"/>
        </w:rPr>
        <w:t xml:space="preserve">1 </w:t>
      </w:r>
      <w:r>
        <w:t>分）</w:t>
      </w:r>
    </w:p>
    <w:sectPr>
      <w:pgSz w:w="11910" w:h="16840"/>
      <w:pgMar w:top="1440" w:right="16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55F"/>
    <w:rsid w:val="00143FCD"/>
    <w:rsid w:val="00C44F8C"/>
    <w:rsid w:val="00D6755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E5DE95C-4AC1-4099-BB06-727E8DF8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宋体" w:eastAsia="宋体" w:hAnsi="宋体" w:cs="宋体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0"/>
      <w:ind w:left="1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C44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C44F8C"/>
    <w:rPr>
      <w:rFonts w:ascii="宋体" w:eastAsia="宋体" w:hAnsi="宋体" w:cs="宋体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C44F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C44F8C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570</Characters>
  <Application>Microsoft Office Word</Application>
  <DocSecurity>0</DocSecurity>
  <Lines>30</Lines>
  <Paragraphs>33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2020-05-29T19:37:00Z</dcterms:created>
  <dcterms:modified xsi:type="dcterms:W3CDTF">2020-05-29T11:37:00Z</dcterms:modified>
</cp:coreProperties>
</file>