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10160000</wp:posOffset>
            </wp:positionV>
            <wp:extent cx="444500" cy="254000"/>
            <wp:effectExtent l="0" t="0" r="12700" b="1270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西宁市2019—2020学年度第一学期末调研测试卷</w:t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八年级语文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1．本试卷满分100分，考试时间120分钟。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2．本试卷为试题卷，不允许作为答题卷使用，答题部分请在答题卡上作答，否则无效。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3．答题前，考生务必将自己的姓名、准考证号、考场、座位号填写在答题卡上，同时填写在试卷上。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4．选择题用2B铅笔把答题卡上对应题目的答案标号涂黑（如需改动，用橡皮擦干净后，再选涂其他答案标号）。非选择题用0．5毫米的黑色签字笔答在答题卡相应的位置，字体工整，笔迹清楚。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一、语文基础知识与运用（共20分）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（请将第1～4题的答案选项填涂在答题卡相应的位置上，每小题2分，共8分）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1．下列词语中加点字的注音全都正确的一项是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A．不</w:t>
      </w:r>
      <w:r>
        <w:rPr>
          <w:rFonts w:hint="eastAsia" w:ascii="Times New Roman" w:hAnsi="Times New Roman"/>
          <w:em w:val="dot"/>
        </w:rPr>
        <w:t>逊</w:t>
      </w:r>
      <w:r>
        <w:rPr>
          <w:rFonts w:hint="eastAsia" w:ascii="Times New Roman" w:hAnsi="Times New Roman"/>
        </w:rPr>
        <w:t>（xùn）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嶙</w:t>
      </w:r>
      <w:r>
        <w:rPr>
          <w:rFonts w:hint="eastAsia" w:ascii="Times New Roman" w:hAnsi="Times New Roman"/>
        </w:rPr>
        <w:t>峋（líng）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窒</w:t>
      </w:r>
      <w:r>
        <w:rPr>
          <w:rFonts w:hint="eastAsia" w:ascii="Times New Roman" w:hAnsi="Times New Roman"/>
        </w:rPr>
        <w:t>息（zhì）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振聋发</w:t>
      </w:r>
      <w:r>
        <w:rPr>
          <w:rFonts w:hint="eastAsia" w:ascii="Times New Roman" w:hAnsi="Times New Roman"/>
          <w:em w:val="dot"/>
        </w:rPr>
        <w:t>聩</w:t>
      </w:r>
      <w:r>
        <w:rPr>
          <w:rFonts w:hint="eastAsia" w:ascii="Times New Roman" w:hAnsi="Times New Roman"/>
        </w:rPr>
        <w:t>（kuì）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em w:val="dot"/>
        </w:rPr>
        <w:t>滞</w:t>
      </w:r>
      <w:r>
        <w:rPr>
          <w:rFonts w:hint="eastAsia" w:ascii="Times New Roman" w:hAnsi="Times New Roman"/>
        </w:rPr>
        <w:t>留（zhì）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屏</w:t>
      </w:r>
      <w:r>
        <w:rPr>
          <w:rFonts w:hint="eastAsia" w:ascii="Times New Roman" w:hAnsi="Times New Roman"/>
        </w:rPr>
        <w:t>息（bǐng）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妯</w:t>
      </w:r>
      <w:r>
        <w:rPr>
          <w:rFonts w:hint="eastAsia" w:ascii="Times New Roman" w:hAnsi="Times New Roman"/>
        </w:rPr>
        <w:t>娌（zhóu）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坦荡如</w:t>
      </w:r>
      <w:r>
        <w:rPr>
          <w:rFonts w:hint="eastAsia" w:ascii="Times New Roman" w:hAnsi="Times New Roman"/>
          <w:em w:val="dot"/>
        </w:rPr>
        <w:t>砥</w:t>
      </w:r>
      <w:r>
        <w:rPr>
          <w:rFonts w:hint="eastAsia" w:ascii="Times New Roman" w:hAnsi="Times New Roman"/>
        </w:rPr>
        <w:t>（dǐ）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C．吹</w:t>
      </w:r>
      <w:r>
        <w:rPr>
          <w:rFonts w:hint="eastAsia" w:ascii="Times New Roman" w:hAnsi="Times New Roman"/>
          <w:em w:val="dot"/>
        </w:rPr>
        <w:t>嘘</w:t>
      </w:r>
      <w:r>
        <w:rPr>
          <w:rFonts w:hint="eastAsia" w:ascii="Times New Roman" w:hAnsi="Times New Roman"/>
        </w:rPr>
        <w:t>（xū）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悄</w:t>
      </w:r>
      <w:r>
        <w:rPr>
          <w:rFonts w:hint="eastAsia" w:ascii="Times New Roman" w:hAnsi="Times New Roman"/>
        </w:rPr>
        <w:t>然（qiǎo）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差</w:t>
      </w:r>
      <w:r>
        <w:rPr>
          <w:rFonts w:hint="eastAsia" w:ascii="Times New Roman" w:hAnsi="Times New Roman"/>
        </w:rPr>
        <w:t>使（chā）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络</w:t>
      </w:r>
      <w:r>
        <w:rPr>
          <w:rFonts w:hint="eastAsia" w:ascii="Times New Roman" w:hAnsi="Times New Roman"/>
          <w:em w:val="dot"/>
        </w:rPr>
        <w:t>绎</w:t>
      </w:r>
      <w:r>
        <w:rPr>
          <w:rFonts w:hint="eastAsia" w:ascii="Times New Roman" w:hAnsi="Times New Roman"/>
        </w:rPr>
        <w:t>不绝（yì）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  <w:em w:val="dot"/>
        </w:rPr>
        <w:t>踌</w:t>
      </w:r>
      <w:r>
        <w:rPr>
          <w:rFonts w:hint="eastAsia" w:ascii="Times New Roman" w:hAnsi="Times New Roman"/>
        </w:rPr>
        <w:t>躇（chóu）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丘</w:t>
      </w:r>
      <w:r>
        <w:rPr>
          <w:rFonts w:hint="eastAsia" w:ascii="Times New Roman" w:hAnsi="Times New Roman"/>
          <w:em w:val="dot"/>
        </w:rPr>
        <w:t>壑</w:t>
      </w:r>
      <w:r>
        <w:rPr>
          <w:rFonts w:hint="eastAsia" w:ascii="Times New Roman" w:hAnsi="Times New Roman"/>
        </w:rPr>
        <w:t>（hè）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禁</w:t>
      </w:r>
      <w:r>
        <w:rPr>
          <w:rFonts w:hint="eastAsia" w:ascii="Times New Roman" w:hAnsi="Times New Roman"/>
          <w:em w:val="dot"/>
        </w:rPr>
        <w:t>锢</w:t>
      </w:r>
      <w:r>
        <w:rPr>
          <w:rFonts w:hint="eastAsia" w:ascii="Times New Roman" w:hAnsi="Times New Roman"/>
        </w:rPr>
        <w:t>（gù）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杳</w:t>
      </w:r>
      <w:r>
        <w:rPr>
          <w:rFonts w:hint="eastAsia" w:ascii="Times New Roman" w:hAnsi="Times New Roman"/>
        </w:rPr>
        <w:t>无消息（chá）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2．下列词语书写完全正确的一项是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A．锐不可当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不怀好意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和颜悦色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狼藉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B．纵横决荡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眼花撩乱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触目伤怀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诘责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C．连绵不断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油光可鉴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不折不挠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躁热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D．为富不仁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鹤立鸡群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因地治宜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星辰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3．下列句子中加点词语使用不正确的一项是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A．节日的故宫，</w:t>
      </w:r>
      <w:r>
        <w:rPr>
          <w:rFonts w:hint="eastAsia" w:ascii="Times New Roman" w:hAnsi="Times New Roman"/>
          <w:em w:val="dot"/>
        </w:rPr>
        <w:t>摩肩接踵</w:t>
      </w:r>
      <w:r>
        <w:rPr>
          <w:rFonts w:hint="eastAsia" w:ascii="Times New Roman" w:hAnsi="Times New Roman"/>
        </w:rPr>
        <w:t>，人满为患，迫不得已，故宫推出了“限流”措施。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B．为了完成国产航母第二次试航任务，全体工作人员</w:t>
      </w:r>
      <w:r>
        <w:rPr>
          <w:rFonts w:hint="eastAsia" w:ascii="Times New Roman" w:hAnsi="Times New Roman"/>
          <w:em w:val="dot"/>
        </w:rPr>
        <w:t>殚精竭虑</w:t>
      </w:r>
      <w:r>
        <w:rPr>
          <w:rFonts w:hint="eastAsia" w:ascii="Times New Roman" w:hAnsi="Times New Roman"/>
        </w:rPr>
        <w:t>，可歌可泣。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C．他的作品虽称不上完美，但也</w:t>
      </w:r>
      <w:r>
        <w:rPr>
          <w:rFonts w:hint="eastAsia" w:ascii="Times New Roman" w:hAnsi="Times New Roman"/>
          <w:em w:val="dot"/>
        </w:rPr>
        <w:t>自出心载</w:t>
      </w:r>
      <w:r>
        <w:rPr>
          <w:rFonts w:hint="eastAsia" w:ascii="Times New Roman" w:hAnsi="Times New Roman"/>
        </w:rPr>
        <w:t>，别有一番风味。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D．作为一名年轻人，一定要具有丰富的想象力和</w:t>
      </w:r>
      <w:r>
        <w:rPr>
          <w:rFonts w:hint="eastAsia" w:ascii="Times New Roman" w:hAnsi="Times New Roman"/>
          <w:em w:val="dot"/>
        </w:rPr>
        <w:t>摧枯拉朽</w:t>
      </w:r>
      <w:r>
        <w:rPr>
          <w:rFonts w:hint="eastAsia" w:ascii="Times New Roman" w:hAnsi="Times New Roman"/>
        </w:rPr>
        <w:t>的创造力。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4．下列句子没有语病的一项是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A．我和妈妈漫步于风光旖旎的南山公园，皎洁的月光和悠扬的歌声从远处传来。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B．在老师和同学的帮助下，马二虎的成绩竟然提高了大约20分左右。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C．面对飞速发展的网络信息时代，我们应该具有一定的信息安全防范。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D．我确实亲眼看见过倒挂着还能开花的仙人掌。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5．请给下面这则新闻拟写一个标题（不超过20个字）。（2分）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本报讯（记者  王琼）记者从西宁市体育局获悉，在南京马拉松比赛中，我市优秀运动员杨成祥是第一个到达终点的中国选手，夺得国内冠军。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据了解，2019年南京马拉松锦标赛（南京站）于11月10日上午7：30开赛，近3万跑友在奥体中心东门广场开始了2019年的南京马拉松比赛。今年的南京马拉松比赛有55348人报名，其中外国选手占42．9％，有来自澳大利亚、孟加拉国、比利时、巴西、加拿大、墨西哥、荷兰等国家的国际跑友报名参赛，经过一番拼搏，最后男子组全程的冠军由来自肯尼亚的选手获得，全程耗时02：13：14，女子组全程冠军则是由来自内蒙古的选手以2：35：40的成绩获得，来自青海西宁的运动员杨成祥是中国选手中第一个到达终点的，夺得国内冠军。</w:t>
      </w:r>
    </w:p>
    <w:p>
      <w:pPr>
        <w:spacing w:line="360" w:lineRule="auto"/>
        <w:jc w:val="righ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（《西宁晚报》2019年11月13日，有删改）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9"/>
        <w:gridCol w:w="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8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9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  <w:tc>
          <w:tcPr>
            <w:tcW w:w="499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  <w:vertAlign w:val="subscript"/>
              </w:rPr>
            </w:pPr>
            <w:r>
              <w:rPr>
                <w:rFonts w:hint="eastAsia" w:ascii="Times New Roman" w:hAnsi="Times New Roman"/>
                <w:vertAlign w:val="subscript"/>
              </w:rPr>
              <w:t>20</w:t>
            </w:r>
          </w:p>
        </w:tc>
      </w:tr>
    </w:tbl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6．古诗文默写。（10分）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（1）自富阳至桐庐一百许里，_________________，_________________。（吴均《与朱元思书》）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（2）折戟沉沙铁未销，自将磨洗认前朝。_________________，_________________。（杜牧《赤壁》）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（3）_________________，_________________。小园香径独徘徊。（晏殊《浣溪沙》）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（4）李白的《渡荆门送别》中以移动视角描写景物变化的句子是：“_________________，_________________。”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（5）《得道多助，失道寡助》中孟子指出决定战争胜负三要素的句子是：_________________，_________________。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二、综合性学习（共6分）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7．为了弘扬中华民族诚实守信的传统美德，学校开展以“诚信做人”为主题的系列活动，请你参加并完成以下任务。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（1）请你写一句有关诚信的名言警句。（1分）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（2）仿照下面的句子，写两句话，谈谈你对诚信的理解。（2分）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例：诚信好像那航船上的罗盘，失去它你将迷失方向。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诚信好像_________________，失去它_________________。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诚信好像_________________，失去它_________________。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（3）生活中我们要养成讲诚信的好习惯。小明12月27日中午吃饭忘了带钱，向张老师借12元钱，说好明天归还。请你帮小明拟写一张借条。（3分）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三、古诗文阅读（共12分）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（一）阅读李清照《渔家傲》，完成8～9题。（3分）</w:t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渔家傲</w:t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李清照</w:t>
      </w:r>
    </w:p>
    <w:p>
      <w:pPr>
        <w:spacing w:line="360" w:lineRule="auto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天接云涛连晓雾，星河欲转千帆舞。仿佛梦魂归帝所，闻天语，殷勤问我归何处。</w:t>
      </w:r>
    </w:p>
    <w:p>
      <w:pPr>
        <w:spacing w:line="360" w:lineRule="auto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我报路长嗟日暮，学诗谩有惊人句。九万里风鹏正举。风休住，蓬舟吹取三山去！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8．这首词中“_________________”一句感慨国难当头，诗词文章无用武之地。（1分）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9．请你结合词句谈谈这首词在写作上的突出特点。（2分）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（二）阅读《三峡》，完成10～14题。（9分）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①自三峡七百里中，两岸连山，略无阙处。重岩叠嶂，隐天蔽日，自非亭午夜分，不见曦月。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②至于夏水襄陵，沿溯阻绝。或王命急宣，有时朝发白帝，暮到江陵，其间千二百里，虽乘奔御风，不以疾也。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③春冬之时，则素湍绿潭，回清倒影。绝?多生怪柏，悬泉瀑布，飞漱其间，清荣峻茂，良多趣味。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  <w:u w:val="single"/>
        </w:rPr>
      </w:pPr>
      <w:r>
        <w:rPr>
          <w:rFonts w:hint="eastAsia" w:ascii="楷体" w:hAnsi="楷体" w:eastAsia="楷体"/>
        </w:rPr>
        <w:t>④每至晴初霜旦，林寒涧肃，常有高猿长啸，属引凄异，空谷传响，哀转久绝。</w:t>
      </w:r>
      <w:r>
        <w:rPr>
          <w:rFonts w:hint="eastAsia" w:ascii="楷体" w:hAnsi="楷体" w:eastAsia="楷体"/>
          <w:u w:val="single"/>
        </w:rPr>
        <w:t>故渔者歌曰：“巴东三峡巫峡长，猿鸣三声泪沾裳。”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10．本文作者________是北魏地理学家。他所撰《__________》详细记载了一千多条大小河流及有关的历史遗迹等，是我国古代地理名著，并具具有较高的文学价值。（2分）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11．解释下列句中加点的字。（2分）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（1）虽乘</w:t>
      </w:r>
      <w:r>
        <w:rPr>
          <w:rFonts w:hint="eastAsia" w:ascii="Times New Roman" w:hAnsi="Times New Roman"/>
          <w:em w:val="dot"/>
        </w:rPr>
        <w:t>奔</w:t>
      </w:r>
      <w:r>
        <w:rPr>
          <w:rFonts w:hint="eastAsia" w:ascii="Times New Roman" w:hAnsi="Times New Roman"/>
        </w:rPr>
        <w:t>御风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奔：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hint="eastAsia" w:ascii="Times New Roman" w:hAnsi="Times New Roman"/>
          <w:em w:val="dot"/>
        </w:rPr>
        <w:t>属</w:t>
      </w:r>
      <w:r>
        <w:rPr>
          <w:rFonts w:hint="eastAsia" w:ascii="Times New Roman" w:hAnsi="Times New Roman"/>
        </w:rPr>
        <w:t>引凄异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属：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12．用现代汉语翻译“至于夏水襄陵，沿溯阻绝”一句。（2分）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13．从全文看第④段画线的句子有什么作用？（1分）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14．如果你有机会去三峡欣赏美景，会选择哪个季节呢？请结合课文内容说说理由，并说说这个季节的景物有怎样的特征？（2分）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四、现代文阅读（共18分）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（一）阅读茅以癉《中国石拱桥》（节选），完成15～18题。（9分）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①</w:t>
      </w:r>
      <w:r>
        <w:rPr>
          <w:rFonts w:hint="eastAsia" w:ascii="楷体" w:hAnsi="楷体" w:eastAsia="楷体"/>
          <w:u w:val="single"/>
        </w:rPr>
        <w:t>石拱桥的桥洞成弧形，就像虹</w:t>
      </w:r>
      <w:r>
        <w:rPr>
          <w:rFonts w:hint="eastAsia" w:ascii="楷体" w:hAnsi="楷体" w:eastAsia="楷体"/>
        </w:rPr>
        <w:t>。古代神话里说，雨后彩虹是“人间天上的桥”，通过彩虹就能上天。我国的诗人爱把拱桥比作虹，说拱桥是“卧虹”“飞虹”，把水上拱桥形容为“长虹卧波”。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②石拱桥在世界桥梁史上出现得比较早。这种桥不但形式优美，而且结构坚固，能几十年几百年甚至上千年雄跨在江河之上，在交通方面发挥作用。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③我国的石拱桥有悠久的历史。《水经注》里提到的“旅人桥”，大约建成于公元282年，可能是有记载的最早的石拱桥了。我国的石拱桥几乎到处都有。这些桥大小不一，形式多样，有许多是惊人的杰作。其中最著名的当推河北省赵县的赵州桥，还有北京丰台区的卢沟桥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④赵州桥横跨在?河上，是世界著名的古代石拱桥，也是造成后一直使用到现在的最古的石桥。这座桥修建于公元605年左右，到现在已经1300多年了，还保持着原来的雄姿。到解放的时候，桥身有些残损了，在人民政府的领导下，经过彻底整修，这座古桥又恢复了青春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⑤赵州桥非常雄伟，全长50．82米，两端宽9．6米，中部略窄，宽9米。桥的设计完全合乎科学原理，施工技术更是巧妙绝伦。唐朝的张嘉贞说它“制造奇特，人不知其所以为”。这座桥的特点是：（一）全桥只有一个大拱，长达37．4米，在当时可算是世界上最长的石拱，桥洞不是普通半圆形，而是像一张弓，因而大拱上面的道路没有陡坡，便于车马上下。（二）</w:t>
      </w:r>
      <w:r>
        <w:rPr>
          <w:rFonts w:hint="eastAsia" w:ascii="楷体" w:hAnsi="楷体" w:eastAsia="楷体"/>
          <w:u w:val="single"/>
        </w:rPr>
        <w:t>大拱的两肩上，各有两个小拱</w:t>
      </w:r>
      <w:r>
        <w:rPr>
          <w:rFonts w:hint="eastAsia" w:ascii="楷体" w:hAnsi="楷体" w:eastAsia="楷体"/>
        </w:rPr>
        <w:t>。这个创造性的设计，不但节约了石料，减轻了桥身的重量，而且在河水暴涨的时候，还可以增加桥洞的过水量，减轻洪水对桥身的冲击。同时，拱上加拱，桥身也更美观。（三）大拱由28道拱圈拼成，就像这么多同样形状的弓合拢在一起，做成一个弧形的桥洞。每道拱圈都能独立支撑上面的重量，一道坏了，其他各道不致受到影响。（四）全桥结构匀称，和四周景色配合得十分和谐；桥上的石栏石板也雕刻得古朴美观。唐朝的张?说，远望这座桥就像“初月出云，长虹饮涧”。赵州桥高度的技术水平和不朽的艺术价值，充分显示了我国劳动人民的智慧和力量。桥的主要设计者李春就是一位杰出的工匠，在桥头的碑文里刻着他的名字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15．阅读选文，概括中国石拱桥的主要特点。（3分）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16．选文第⑤段画线句“大拱的两肩上，</w:t>
      </w:r>
      <w:r>
        <w:rPr>
          <w:rFonts w:hint="eastAsia" w:ascii="Times New Roman" w:hAnsi="Times New Roman"/>
          <w:em w:val="dot"/>
        </w:rPr>
        <w:t>各</w:t>
      </w:r>
      <w:r>
        <w:rPr>
          <w:rFonts w:hint="eastAsia" w:ascii="Times New Roman" w:hAnsi="Times New Roman"/>
        </w:rPr>
        <w:t>有两个小拱”中“各”字能否删去，为什么？（2分）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17．选文第①段画线句“石拱桥的桥洞成弧形，就像虹”，运用了什么说明方法？有何作用？（2分）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18．选文第⑤段是按什么顺序说明的？请具体谈谈。（2分）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（二）阅读章中林《父亲的背影》，完成19～22题。（9分）</w:t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父亲的背影</w:t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章中林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①和父亲不相见已是一年有余了，我常常梦到父亲的那个背影……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②去年国庆放假回家，父亲说从镇上到家没有车，他开电瓶车来接我。七十岁的老人了，能开电瓶车吗？望着坐在前面开车的父亲，我看到的是他的背影：他目视前方，脊背有些凸起，根根骨头清晰可辨，上面只裹着一张皮。他扶着方向盘，弯着腰，看上去就像一张犁辕。这还是我那伟岸高大的父亲吗？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  <w:u w:val="single"/>
        </w:rPr>
      </w:pPr>
      <w:r>
        <w:rPr>
          <w:rFonts w:hint="eastAsia" w:ascii="楷体" w:hAnsi="楷体" w:eastAsia="楷体"/>
        </w:rPr>
        <w:t>③父亲年轻的时候，在山里帮人炸石头。我空闲时，喜欢到他那里玩耍。那时，我经常看到他挥舞着大铁锤，把石头砸得金星乱飞。这是怎样一个形象呢？也许用个特写就能表现出来：</w:t>
      </w:r>
      <w:r>
        <w:rPr>
          <w:rFonts w:hint="eastAsia" w:ascii="楷体" w:hAnsi="楷体" w:eastAsia="楷体"/>
          <w:u w:val="single"/>
        </w:rPr>
        <w:t>身形高大的父亲，脊背宽阔如门，两腿站立如柱，两臂肌肉暴起，挥舞起铁锤来，带着呼呼的风声。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④前些日子，看到库尔贝的一幅油画《采石工》，我才恍然明白我的印象与现实有着不小的偏差。因为那时生活拮据，父亲应该和《采石工》中的主人公类似，戴着没有檐儿的草帽，穿着满是补丁的衣服，鞋子也是破的，连脚后跟都露出来了。这能从父亲当年拍的一张黑白照看出来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⑤这就是残酷的现实，但我还是喜欢父亲那个砸石头的背影：棕色的脊背，绷紧的双臂，高举的铁锤。整幅画面有着无穷的张力和撼人心魂的表现力，谁看了不会对他竖起大拇指呢？但是，眼前的父亲却完全没有了那种气势，委顿矮小，说话都有些不能关风，还怎么和当年那个形象相比较呢？不忍再想，不能再看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⑥回到家，我感冒了。身体软软的，提不起精神。看到父亲挑着一担粪去浇地，我说我来。父亲笑说，你是纸扎的，经不起风。这时，我又看到了父亲的背影：他伸着颈，哈着腰，两手抓着扁担，整个人弯成了一张弓。望着他步履蹒跚，我的眼泪流了出来。身为儿子，我却不能让年迈的父亲颐养天年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⑦走的那天，临出门，父亲叫我等一等，摘些苦柚带着。他说苦柚对我的高血压和高血脂有益，一树的苦柚基本上都被他捎到了我的手里。望着树顶上的苦柚，他准备爬上树去摘。这么大年纪的人了，危险！我叫嚷着跑到父亲的跟前，想要夺下他的腰篮，但他断然回绝了：别看你比我年轻，但是爬树，我灵活，你不行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⑧倒吊在树上的父亲，就像一只塑料袋挂在树上，迎风飞舞着，似乎随时都会被风吹落。这时我的泪又来了。父亲哪里还有当年的宽阔背脊，人瘦得有些变形，只剩下一手可握的轮廓了。一件夹克被风扬起来，就像被鼓起的风帆，整个人看上去就像一只蜕皮的蝉一样。那手更是让人不忍直视—黢黑的烧火棍一样，没有一点光泽；皲裂的麻秆一样，没有一点肌肉。这还是父亲吗？眼泪像决堤的洪水一样淹没了我的视线。</w:t>
      </w:r>
    </w:p>
    <w:p>
      <w:pPr>
        <w:spacing w:line="360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⑨一年多来的每一个日子里，我都思念着父亲，忘不了他弯曲的背影。无论怎样，我一定要回去看看父亲，和他说一说我的工作、我的生活……         （有删改）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19．文中具体描写了哪几次父亲的背影？请分别概括。（3分）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20．请从人物描写方法或修辞手法的角度赏析第③段画线句子。（2分）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身形高大的父亲，脊背宽阔如门，两腿站立如柱，两臂肌肉暴起，挥舞起铁锤来，带着呼呼的风声。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21．下面两个句子都描写了父亲的背影，哪一个背影对你触动更深？请说出理由。（2分）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（1）我看到的是他的背影：他目视前方，脊背有些凸起，根根骨头清晰可辨，上面只裹着一张皮。他扶着方向盘，弯着腰，看上去就像一张犁辕。（章中林《父亲的背影》）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我看见他戴着黑布小帽，穿着黑布大马褂，深青布棉袍，蹒跚地走到铁轨边，慢慢探身下去，尚不大难。可是他穿过铁轨，要爬上那边月台，就不容易了。他用两手攀着上面，两脚再向上缩；他肥胖的身子向左微倾，显出努力的样子。（朱自清《背影》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22．本文与朱自清的《背影》在内容和主题上有何相似之处？（2分）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五、名著阅读（共4分）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23．任选一项作答。（2分）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85"/>
        <w:gridCol w:w="1559"/>
        <w:gridCol w:w="1134"/>
        <w:gridCol w:w="4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项目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篇目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基本特点</w:t>
            </w:r>
          </w:p>
        </w:tc>
        <w:tc>
          <w:tcPr>
            <w:tcW w:w="4609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阅读方法及注意事项（列举一种并做简要介绍或阐述）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《红星照耀中国》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纪实作品阅读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</w:p>
        </w:tc>
        <w:tc>
          <w:tcPr>
            <w:tcW w:w="4609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《昆虫记》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科普作品阅读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</w:p>
        </w:tc>
        <w:tc>
          <w:tcPr>
            <w:tcW w:w="4609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</w:p>
        </w:tc>
      </w:tr>
    </w:tbl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24．读了《红星照耀中国》，你是如何理解长征精神的？作为当代青少年该如何传承长征精神？（2分）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六、写作（40分）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25．请从下面两道作文题中任选一题作文。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题一：以“惊喜”为题，写一篇作文。（提示：除诗歌外，文体不限）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题二：生活中你会接触到很多事物，选择你熟悉的一种，以“__________的自白”为题，写一篇说明文。（提示：可从“物品”“建筑”“饮食”“文化”等多方面任选，先将题目补充完整，然后作文；抓住事物的特征，按照一定的顺序，恰当运用说明方法，也可适当运用文学手法，增强说明效果。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要求：（1）符合题意，中心明确，情感真实，内容充实，语言通顺，卷面整洁。（2）字数不少于600字。（3）文中不得出现真实的校名和人名。（4）不得抄袭或套作。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西宁市2019—2020学年度第一学期未调研测试卷</w:t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八年级语文参考答案及评分标准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一、语文基础知识与运用（共20分）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（请将1～4题的答案选项填写在下列表格中，每小题2分，共8分）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199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99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99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99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199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199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199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199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</w:tr>
    </w:tbl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5．我市运动员南京马拉松夺得国内冠军（2分）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6．诗文默写（10分）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（1）奇山异水，天下独绝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（2）东风不与周郎便，铜雀春深锁二乔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（3）无可奈何花落去，似曾相识燕归来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（4）山随平野尽，江入大荒流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（5）天时不如地利，地利不如人和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（每小题2分，每空1分，其中凡出现错、漏、添、例字者该空不得分。共10分）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二、综合性学习（共6分）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7．示例：（1）①为人谋而不忠乎，与朋友交而不信乎；②轻诺必寡信…（与诚信有关的名言警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句）（1分）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（2）示例：诚信好像那天空中的骄阳，失去它你将永堕黑暗。（2分）</w:t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借  条</w:t>
      </w:r>
    </w:p>
    <w:p>
      <w:pPr>
        <w:spacing w:line="36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今借到张老师人民币12元（大写：壹拾贰元整），明日归还。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（立此字据）</w:t>
      </w:r>
    </w:p>
    <w:p>
      <w:pPr>
        <w:spacing w:line="360" w:lineRule="auto"/>
        <w:jc w:val="righ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借款人：小明</w:t>
      </w:r>
    </w:p>
    <w:p>
      <w:pPr>
        <w:spacing w:line="360" w:lineRule="auto"/>
        <w:jc w:val="righ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（2019年）12月27日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（格式准确1分，语言表述清楚1分，大写书写正确1分，共3分）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三、古诗文阅读（共12分）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8．学诗谩有惊人句。（1分）（凡出现错、别字该空不得分）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9．想象丰富，意境壮阔，充满了浪漫主义色彩。所描绘的梦幻境界丰富多姿，使人神往。词风豪放雄壮。（2分）（意对即可）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10．郦道元《水经注》（每空1分，凡出现错、别字该空不得分，共2分）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11．（1）这里指飞奔的马。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（2）连接（每小题1分，共2分）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12．参考译文：到夏天江水漫上山陵的时候，上行和下行的航道都被阻断，不能通航。（2分）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13．引用渔歌，进一步突出三峡山高水长的特点，同时渲染三峡秋天萧瑟凄清的气氛。（意近即可）（1分）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14．示例：我会选择在夏天去。那江水漫上山陵而江面更显宽阔的景象，那急流顺峡谷奔腾而下的壮观景色，令人神往。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特点：夏天，江水满溢，一泻千里，给人以惊心动魄之感。春冬季，水流和缓，潭深水碧，优美、雅致。秋季，万物萧条，凄清哀婉，引人悲伤垂泪。（结合文章内容作答，言之有理即可。）（2分）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四、现代文阅读（共18分）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15．历史悠久，结构坚固，形式优美。（答对一点得1分，共3分）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16．答：不能删除。“各”表示在大拱的两肩上分别有两个小拱，准确地说明小拱的分布和数量（1分），去掉“各”后意思变为大拱的两肩只有两个小拱，与客观事实不符，语言表达不准确（1分）。（共2分）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17．运用打比方的说明方法（1分），生动形象的写出石拱桥的外形特征，增强文学色彩（1分）。（共2分）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18．总—分—总（1分）。先概括说明赵州桥的雄伟，再具体介绍桥的特点，最后总体评价桥的价值（1分）。（共2分）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19．①父亲开电瓶车接我回家时弯曲瘦弱的背影；②父亲年轻砸石头时健壮、充满力量的背影；③父亲挑粪浇地时苍老的背影；④父亲为我爬树摘苦柚时瘦干的背影。（答对3点，即可得3分）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20．采用比喻的修辞手法（1分），形象地写出了我印象中父亲健硕强壮的形象，与现在枯瘦的形象做对比，写出了父亲的辛劳与苍老（1分）。（共2分）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1）选文此句既是细节描写，又在描写中运用夸张、比喻修辞手法，把一位因年龄、因劳作而变得奇瘦无比的父亲描摹的栩栩如生，如在眼前。夸张、比喻的运用，又让人为这样平凡辛劳的“父辈”感到辛酸，作者自己对父亲的愧疚和感激也力透纸背，令人唏嘘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（2）通过动作描写细腻而又简练的写出了父亲爬月台的整个过程，表现了父亲爬月台的艰难，体现了父亲对儿子深沉的爱。（2分）（任选一题作答即可）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22．两篇文章都是通过描写父亲的背影，生动的刻画了一个感人至深的慈父形象（1分），表达了真挚深沉的父子之情，抒发了对父亲的深切思念之情（1分）。（共2分）（意近即可）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五、名著阅读（共4分）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23．任选一题作答，不偏离主题即可酌情给分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85"/>
        <w:gridCol w:w="1559"/>
        <w:gridCol w:w="1559"/>
        <w:gridCol w:w="4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项目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篇目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类型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基本特点</w:t>
            </w:r>
          </w:p>
        </w:tc>
        <w:tc>
          <w:tcPr>
            <w:tcW w:w="4184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阅读方法及注意事项（列举一种并做简要介绍或阐述）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《红星照耀中国》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纪实作品阅读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纪实作品阅读用事实说话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（1分）</w:t>
            </w:r>
          </w:p>
        </w:tc>
        <w:tc>
          <w:tcPr>
            <w:tcW w:w="4184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1．利用序言、目录等，迅速获得对作品的整体印象。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2．边读边梳理作品中事实的前因后果、发展线索。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3．把握作品中的“事实”后，要读明白作者想用事实说什么“话”。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4．从中获得启迪，用来指导自己的学习和生活。（1分）（答出一种即可得分）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《昆虫记》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科普作品阅读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深入浅出，用通俗的语言说明复杂、抽象的事理，普及科学知识。（1分）</w:t>
            </w:r>
          </w:p>
        </w:tc>
        <w:tc>
          <w:tcPr>
            <w:tcW w:w="4184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1．借助前言、后记或附录中有关作家作品的介绍，了解作家的生平事迹、科学成就和全书的大致内容。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2．查阅工具书或相关资料，把握专业性较强的概念、术语的含义。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3．体会科普作品蕴含的科学思维、科学理念和科学精神。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4．关注科普作品的艺术趣味。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（1分）（答出一种即可得分）</w:t>
            </w:r>
          </w:p>
        </w:tc>
      </w:tr>
    </w:tbl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长征精神不怕牺牲，前仆后继、勇往直前、坚韧不拔、众志成城、团结互助、百折不挠、克服困难、忠诚爱国（1分）（精神答出2点，即可得分）。作为当代中学生要树立崇高的理想和信念，保持和发扬坚苦奋斗的作风、弘扬集体主义精神，树立社会主义辱荣观，脚踏实地地为实现革命理想争做社会主义事业的接班人而努力（1分）（不偏离主题，意近即可）。（共2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六、作文（40分）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25．略。（参考以下评分标准执行）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（一）作文分类分项评分标准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1．基础等级：从内容、表达、结构、卷面这四个方面评定作文类别。</w:t>
      </w:r>
    </w:p>
    <w:tbl>
      <w:tblPr>
        <w:tblStyle w:val="8"/>
        <w:tblW w:w="7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1559"/>
        <w:gridCol w:w="15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ind w:firstLine="945" w:firstLineChars="45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6350</wp:posOffset>
                      </wp:positionV>
                      <wp:extent cx="1019175" cy="571500"/>
                      <wp:effectExtent l="0" t="0" r="28575" b="190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175" cy="5715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5pt;margin-top:0.5pt;height:45pt;width:80.25pt;z-index:251659264;mso-width-relative:page;mso-height-relative:page;" filled="f" stroked="t" coordsize="21600,21600" o:gfxdata="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c0ZenVAAAABwEAAA8AAAAAAAAAAQAgAAAAIgAAAGRycy9kb3ducmV2LnhtbFBL&#10;AQIUABQAAAAIAIdO4kAgVukmwAEAAFADAAAOAAAAAAAAAAEAIAAAACQBAABkcnMvZTJvRG9jLnht&#10;bFBLBQYAAAAABgAGAFkBAABWBQAAAAA=&#10;">
                      <v:fill on="f" focussize="0,0"/>
                      <v:stroke weight="0.5pt" color="#000000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/>
              </w:rPr>
              <w:t>项目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标准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内容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表达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结构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卷面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一类文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（46－50分）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切合题意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思想健康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中心突出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内容充实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感情真挚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观点正确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文体规范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语言流畅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没有语病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结构严谨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条理清楚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分段恰当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卷面整洁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二类文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（40－45分）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符合题意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思想健康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中心明确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内容具体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感情真实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观点正确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文体较规范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语言通顺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偶有语病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（三句以内）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结构合理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条理较清楚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分段较合理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卷面较整洁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偶有涂抹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（三处以内）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三类文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（30－39分）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基本符合题意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中心较明确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内容较具体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感受较真实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观点基本正确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文体基本规范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语言较通顺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语病不多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（五句以内）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结构基本完整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条理较清楚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能够分段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卷面较整洁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涂抹较多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（五处以内）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四类文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（25－29分）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偏离题意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中心欠明确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内容空洞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观点有偏差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文体不够规范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语言不通顺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语病较多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（六句以上）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结构不完整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条理不清楚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分段不恰当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卷面凌乱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涂抹太多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（六处以上）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五类文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（24分以下）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文不对题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观点不正确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文体不规范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语言极不通顺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结构混乱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不能完篇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卷面很凌乱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字迹难辨</w:t>
            </w:r>
          </w:p>
        </w:tc>
      </w:tr>
    </w:tbl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2．发展等级：（以下五个方面具备一条得1分，最终得分不超过5分）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①主题深刻；②选材新颖；③富有文采；④结构创新；⑤字体美观。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（二）作文常规评分要求：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1、无题目或题目不完整者扣2分。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2、错别字每三个扣1分，重现的不计，最多扣3分。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3、标点符号错误较多者扣3分。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4、字数不足600字者，每少50字扣2分。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5、在作文总分中，加上发展等级不得突破40分。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6、文质兼美的作文敢于打高分。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7、对四、五类作文要严加控制。</w:t>
      </w:r>
    </w:p>
    <w:p>
      <w:pPr>
        <w:spacing w:line="360" w:lineRule="auto"/>
        <w:jc w:val="left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47076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A17EF"/>
    <w:rsid w:val="003B1712"/>
    <w:rsid w:val="003C4A95"/>
    <w:rsid w:val="003D0C09"/>
    <w:rsid w:val="004062F6"/>
    <w:rsid w:val="0041363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33029"/>
    <w:rsid w:val="00857F56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67E"/>
    <w:rsid w:val="00DB6888"/>
    <w:rsid w:val="00DF071B"/>
    <w:rsid w:val="00E22C2C"/>
    <w:rsid w:val="00E34431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76506"/>
    <w:rsid w:val="00FA0944"/>
    <w:rsid w:val="00FB34D2"/>
    <w:rsid w:val="00FB4B17"/>
    <w:rsid w:val="00FC5860"/>
    <w:rsid w:val="00FD377B"/>
    <w:rsid w:val="00FF2D79"/>
    <w:rsid w:val="00FF517A"/>
    <w:rsid w:val="38274566"/>
    <w:rsid w:val="6A37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00F220-F36D-4DC9-9C17-35626E5037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1268</Words>
  <Characters>7229</Characters>
  <Lines>60</Lines>
  <Paragraphs>16</Paragraphs>
  <TotalTime>4</TotalTime>
  <ScaleCrop>false</ScaleCrop>
  <LinksUpToDate>false</LinksUpToDate>
  <CharactersWithSpaces>8481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2020-06-11T01:28:01Z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