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drawing>
          <wp:anchor simplePos="0" relativeHeight="251658240" behindDoc="0" locked="0" layoutInCell="1" allowOverlap="1">
            <wp:simplePos x="0" y="0"/>
            <wp:positionH relativeFrom="page">
              <wp:posOffset>10896600</wp:posOffset>
            </wp:positionH>
            <wp:positionV relativeFrom="topMargin">
              <wp:posOffset>11747500</wp:posOffset>
            </wp:positionV>
            <wp:extent cx="317500" cy="406400"/>
            <wp:wrapNone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585160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1-5.BAACB    6-10.AABCB  11-12.BD</w:t>
      </w:r>
    </w:p>
    <w:p>
      <w:pP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13.BC   14.AC    15.BC   16.AB</w:t>
      </w:r>
    </w:p>
    <w:p>
      <w:pPr>
        <w:rPr>
          <w:rFonts w:eastAsiaTheme="minorEastAsia" w:hint="default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17.  </w:t>
      </w:r>
      <w:r>
        <w:rPr>
          <w:rFonts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>等于、小于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18.  </w:t>
      </w:r>
      <w:r>
        <w:rPr>
          <w:rFonts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>400N、0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19.</w:t>
      </w:r>
      <w:r>
        <w:rPr>
          <w:rFonts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0、=  </w:t>
      </w:r>
      <w:r>
        <w:rPr>
          <w:rFonts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20.  </w:t>
      </w:r>
      <w:r>
        <w:rPr>
          <w:rFonts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>1:5 、9:10</w:t>
      </w:r>
    </w:p>
    <w:p>
      <w:pP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21、22、略</w:t>
      </w:r>
    </w:p>
    <w:p>
      <w:pPr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23.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不相平、液体压强计漏气、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大、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（3）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上移、变大、大</w:t>
      </w:r>
    </w:p>
    <w:p>
      <w:pPr>
        <w:spacing w:line="360" w:lineRule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24.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（1）相等；摩擦力；（2）快；（3）静止</w:t>
      </w:r>
      <w:r>
        <w:rPr>
          <w:rFonts w:hint="eastAsia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匀速直线运动</w:t>
      </w:r>
      <w:r>
        <w:rPr>
          <w:rFonts w:hint="eastAsia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（前后两个空答案可以交换）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；</w:t>
      </w:r>
    </w:p>
    <w:p>
      <w:pPr>
        <w:spacing w:line="360" w:lineRule="auto"/>
        <w:ind w:firstLine="420" w:firstLineChars="200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（4）不是</w:t>
      </w:r>
    </w:p>
    <w:p>
      <w:pP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25.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 1）二力平衡；（2）压力；粗糙；（3）</w:t>
      </w:r>
      <w:r>
        <w:rPr>
          <w:rFonts w:hint="eastAsia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控制变量法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；不受（4）0.8； 向左； 不必。</w:t>
      </w:r>
    </w:p>
    <w:p>
      <w:pPr>
        <w:widowControl/>
        <w:spacing w:line="360" w:lineRule="auto"/>
        <w:ind w:hanging="1"/>
        <w:jc w:val="left"/>
        <w:rPr>
          <w:bCs/>
          <w:color w:val="000000" w:themeColor="text1"/>
          <w:spacing w:val="15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27.</w:t>
      </w: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解</w:t>
      </w:r>
      <w:r>
        <w:rPr>
          <w:rFonts w:hAnsi="宋体"/>
          <w:bCs/>
          <w:color w:val="000000" w:themeColor="text1"/>
          <w:spacing w:val="15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bCs/>
          <w:color w:val="000000" w:themeColor="text1"/>
          <w:spacing w:val="15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Ansi="宋体"/>
          <w:bCs/>
          <w:color w:val="000000" w:themeColor="text1"/>
          <w:spacing w:val="15"/>
          <w:szCs w:val="21"/>
          <w14:textFill>
            <w14:solidFill>
              <w14:schemeClr w14:val="tx1"/>
            </w14:solidFill>
          </w14:textFill>
        </w:rPr>
        <w:t>）车对水平地面的压力：</w:t>
      </w:r>
      <w:r>
        <w:rPr>
          <w:bCs/>
          <w:i/>
          <w:color w:val="000000" w:themeColor="text1"/>
          <w:spacing w:val="15"/>
          <w:szCs w:val="21"/>
          <w14:textFill>
            <w14:solidFill>
              <w14:schemeClr w14:val="tx1"/>
            </w14:solidFill>
          </w14:textFill>
        </w:rPr>
        <w:t>F</w:t>
      </w:r>
      <w:r>
        <w:rPr>
          <w:bCs/>
          <w:color w:val="000000" w:themeColor="text1"/>
          <w:spacing w:val="15"/>
          <w:szCs w:val="21"/>
          <w14:textFill>
            <w14:solidFill>
              <w14:schemeClr w14:val="tx1"/>
            </w14:solidFill>
          </w14:textFill>
        </w:rPr>
        <w:t>=</w:t>
      </w:r>
      <w:r>
        <w:rPr>
          <w:bCs/>
          <w:i/>
          <w:color w:val="000000" w:themeColor="text1"/>
          <w:spacing w:val="15"/>
          <w:szCs w:val="21"/>
          <w14:textFill>
            <w14:solidFill>
              <w14:schemeClr w14:val="tx1"/>
            </w14:solidFill>
          </w14:textFill>
        </w:rPr>
        <w:t>G</w:t>
      </w:r>
      <w:r>
        <w:rPr>
          <w:rFonts w:hAnsi="宋体"/>
          <w:bCs/>
          <w:color w:val="000000" w:themeColor="text1"/>
          <w:spacing w:val="15"/>
          <w:szCs w:val="21"/>
          <w:vertAlign w:val="subscript"/>
          <w14:textFill>
            <w14:solidFill>
              <w14:schemeClr w14:val="tx1"/>
            </w14:solidFill>
          </w14:textFill>
        </w:rPr>
        <w:t>总</w:t>
      </w:r>
      <w:r>
        <w:rPr>
          <w:bCs/>
          <w:color w:val="000000" w:themeColor="text1"/>
          <w:spacing w:val="15"/>
          <w:szCs w:val="21"/>
          <w14:textFill>
            <w14:solidFill>
              <w14:schemeClr w14:val="tx1"/>
            </w14:solidFill>
          </w14:textFill>
        </w:rPr>
        <w:t>=</w:t>
      </w:r>
      <w:r>
        <w:rPr>
          <w:bCs/>
          <w:i/>
          <w:color w:val="000000" w:themeColor="text1"/>
          <w:spacing w:val="15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rFonts w:hAnsi="宋体"/>
          <w:bCs/>
          <w:color w:val="000000" w:themeColor="text1"/>
          <w:spacing w:val="15"/>
          <w:szCs w:val="21"/>
          <w:vertAlign w:val="subscript"/>
          <w14:textFill>
            <w14:solidFill>
              <w14:schemeClr w14:val="tx1"/>
            </w14:solidFill>
          </w14:textFill>
        </w:rPr>
        <w:t>总</w:t>
      </w:r>
      <w:r>
        <w:rPr>
          <w:bCs/>
          <w:i/>
          <w:color w:val="000000" w:themeColor="text1"/>
          <w:spacing w:val="15"/>
          <w:szCs w:val="21"/>
          <w14:textFill>
            <w14:solidFill>
              <w14:schemeClr w14:val="tx1"/>
            </w14:solidFill>
          </w14:textFill>
        </w:rPr>
        <w:t>g</w:t>
      </w:r>
      <w:r>
        <w:rPr>
          <w:bCs/>
          <w:color w:val="000000" w:themeColor="text1"/>
          <w:spacing w:val="15"/>
          <w:szCs w:val="21"/>
          <w14:textFill>
            <w14:solidFill>
              <w14:schemeClr w14:val="tx1"/>
            </w14:solidFill>
          </w14:textFill>
        </w:rPr>
        <w:t>=200kg×10N/kg=2000N</w:t>
      </w:r>
      <w:r>
        <w:rPr>
          <w:rFonts w:hAnsi="宋体"/>
          <w:bCs/>
          <w:color w:val="000000" w:themeColor="text1"/>
          <w:spacing w:val="15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widowControl/>
        <w:spacing w:line="360" w:lineRule="auto"/>
        <w:ind w:hanging="1"/>
        <w:jc w:val="left"/>
        <w:rPr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</w:pPr>
      <w:r>
        <w:rPr>
          <w:rFonts w:hAnsi="宋体"/>
          <w:bCs/>
          <w:color w:val="000000" w:themeColor="text1"/>
          <w:spacing w:val="15"/>
          <w:szCs w:val="21"/>
          <w14:textFill>
            <w14:solidFill>
              <w14:schemeClr w14:val="tx1"/>
            </w14:solidFill>
          </w14:textFill>
        </w:rPr>
        <w:t>由</w:t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p</w:t>
      </w:r>
      <w:r>
        <w:rPr>
          <w:rFonts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>eq \f</w:instrTex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>(</w:instrText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>F,S</w:instrTex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>)</w:instrText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separate"/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知，雪橇最小面积：</w:t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S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=</w:t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>eq \f</w:instrTex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>(</w:instrText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>F,p</w:instrTex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>)</w:instrText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separate"/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=</w:t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>eq \f</w:instrTex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>(</w:instrText>
      </w:r>
      <w:r>
        <w:rPr>
          <w:bCs/>
          <w:color w:val="000000" w:themeColor="text1"/>
          <w:spacing w:val="15"/>
          <w:szCs w:val="21"/>
          <w14:textFill>
            <w14:solidFill>
              <w14:schemeClr w14:val="tx1"/>
            </w14:solidFill>
          </w14:textFill>
        </w:rPr>
        <w:instrText>2000N</w:instrText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>,</w:instrText>
      </w:r>
      <w:r>
        <w:rPr>
          <w:color w:val="000000" w:themeColor="text1"/>
          <w:kern w:val="0"/>
          <w:szCs w:val="21"/>
          <w:lang w:val="zh-CN"/>
          <w14:textFill>
            <w14:solidFill>
              <w14:schemeClr w14:val="tx1"/>
            </w14:solidFill>
          </w14:textFill>
        </w:rPr>
        <w:instrText>5000Pa</w:instrTex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>)</w:instrText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separate"/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=0.4m</w:t>
      </w:r>
      <w:r>
        <w:rPr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2</w:t>
      </w:r>
    </w:p>
    <w:p>
      <w:pPr>
        <w:widowControl/>
        <w:spacing w:line="360" w:lineRule="auto"/>
        <w:ind w:hanging="1"/>
        <w:jc w:val="left"/>
        <w:rPr>
          <w:bCs/>
          <w:color w:val="000000" w:themeColor="text1"/>
          <w:spacing w:val="15"/>
          <w:szCs w:val="21"/>
          <w14:textFill>
            <w14:solidFill>
              <w14:schemeClr w14:val="tx1"/>
            </w14:solidFill>
          </w14:textFill>
        </w:rPr>
      </w:pPr>
      <w:r>
        <w:rPr>
          <w:rFonts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）若雪橇犬能拉支雪橇，需要的总拉力</w:t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F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=</w:t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f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=0.1</w:t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G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=0.1</w:t>
      </w:r>
      <w:r>
        <w:rPr>
          <w:bCs/>
          <w:color w:val="000000" w:themeColor="text1"/>
          <w:spacing w:val="15"/>
          <w:szCs w:val="21"/>
          <w14:textFill>
            <w14:solidFill>
              <w14:schemeClr w14:val="tx1"/>
            </w14:solidFill>
          </w14:textFill>
        </w:rPr>
        <w:t>×2000N=200N</w:t>
      </w:r>
      <w:r>
        <w:rPr>
          <w:rFonts w:hAnsi="宋体"/>
          <w:bCs/>
          <w:color w:val="000000" w:themeColor="text1"/>
          <w:spacing w:val="15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widowControl/>
        <w:spacing w:line="360" w:lineRule="auto"/>
        <w:ind w:hanging="1"/>
        <w:jc w:val="left"/>
        <w:rPr>
          <w:color w:val="000000" w:themeColor="text1"/>
          <w:kern w:val="0"/>
          <w:szCs w:val="21"/>
          <w:lang w:val="zh-CN"/>
          <w14:textFill>
            <w14:solidFill>
              <w14:schemeClr w14:val="tx1"/>
            </w14:solidFill>
          </w14:textFill>
        </w:rPr>
      </w:pPr>
      <w:r>
        <w:rPr>
          <w:rFonts w:hAnsi="宋体"/>
          <w:bCs/>
          <w:color w:val="000000" w:themeColor="text1"/>
          <w:spacing w:val="15"/>
          <w:szCs w:val="21"/>
          <w14:textFill>
            <w14:solidFill>
              <w14:schemeClr w14:val="tx1"/>
            </w14:solidFill>
          </w14:textFill>
        </w:rPr>
        <w:t>因为每条</w:t>
      </w:r>
      <w:r>
        <w:rPr>
          <w:rFonts w:hAnsi="宋体"/>
          <w:color w:val="000000" w:themeColor="text1"/>
          <w:kern w:val="0"/>
          <w:szCs w:val="21"/>
          <w:lang w:val="zh-CN"/>
          <w14:textFill>
            <w14:solidFill>
              <w14:schemeClr w14:val="tx1"/>
            </w14:solidFill>
          </w14:textFill>
        </w:rPr>
        <w:t>阿拉斯加雪橇犬能提供</w:t>
      </w:r>
      <w:r>
        <w:rPr>
          <w:color w:val="000000" w:themeColor="text1"/>
          <w:kern w:val="0"/>
          <w:szCs w:val="21"/>
          <w:lang w:val="zh-CN"/>
          <w14:textFill>
            <w14:solidFill>
              <w14:schemeClr w14:val="tx1"/>
            </w14:solidFill>
          </w14:textFill>
        </w:rPr>
        <w:t>50N</w:t>
      </w:r>
      <w:r>
        <w:rPr>
          <w:rFonts w:hAnsi="宋体"/>
          <w:color w:val="000000" w:themeColor="text1"/>
          <w:kern w:val="0"/>
          <w:szCs w:val="21"/>
          <w:lang w:val="zh-CN"/>
          <w14:textFill>
            <w14:solidFill>
              <w14:schemeClr w14:val="tx1"/>
            </w14:solidFill>
          </w14:textFill>
        </w:rPr>
        <w:t>的拉力，所以至少需要雪橇犬的数量：</w:t>
      </w:r>
    </w:p>
    <w:p>
      <w:pPr>
        <w:widowControl/>
        <w:spacing w:line="360" w:lineRule="auto"/>
        <w:ind w:hanging="1"/>
        <w:jc w:val="left"/>
        <w:rPr>
          <w:rFonts w:ascii="宋体" w:eastAsia="宋体" w:hAnsi="宋体" w:cs="宋体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i/>
          <w:color w:val="000000" w:themeColor="text1"/>
          <w:kern w:val="0"/>
          <w:szCs w:val="21"/>
          <w:lang w:val="zh-CN"/>
          <w14:textFill>
            <w14:solidFill>
              <w14:schemeClr w14:val="tx1"/>
            </w14:solidFill>
          </w14:textFill>
        </w:rPr>
        <w:t>n</w:t>
      </w:r>
      <w:r>
        <w:rPr>
          <w:color w:val="000000" w:themeColor="text1"/>
          <w:kern w:val="0"/>
          <w:szCs w:val="21"/>
          <w:lang w:val="zh-CN"/>
          <w14:textFill>
            <w14:solidFill>
              <w14:schemeClr w14:val="tx1"/>
            </w14:solidFill>
          </w14:textFill>
        </w:rPr>
        <w:t>=</w:t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>eq \f</w:instrTex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>(</w:instrText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>F,F</w:instrText>
      </w:r>
      <w:r>
        <w:rPr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instrText>1</w:instrTex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>)</w:instrText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separate"/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=</w:t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>eq \f</w:instrTex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>(</w:instrText>
      </w:r>
      <w:r>
        <w:rPr>
          <w:bCs/>
          <w:color w:val="000000" w:themeColor="text1"/>
          <w:spacing w:val="15"/>
          <w:szCs w:val="21"/>
          <w14:textFill>
            <w14:solidFill>
              <w14:schemeClr w14:val="tx1"/>
            </w14:solidFill>
          </w14:textFill>
        </w:rPr>
        <w:instrText>200N</w:instrText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>,</w:instrText>
      </w:r>
      <w:r>
        <w:rPr>
          <w:bCs/>
          <w:color w:val="000000" w:themeColor="text1"/>
          <w:spacing w:val="15"/>
          <w:szCs w:val="21"/>
          <w14:textFill>
            <w14:solidFill>
              <w14:schemeClr w14:val="tx1"/>
            </w14:solidFill>
          </w14:textFill>
        </w:rPr>
        <w:instrText>50N</w:instrTex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>)</w:instrText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separate"/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=4</w:t>
      </w:r>
      <w:r>
        <w:rPr>
          <w:rFonts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只</w:t>
      </w:r>
    </w:p>
    <w:p>
      <w:pP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28.</w:t>
      </w: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解：①鱼缸内所装水的重力G</w:t>
      </w:r>
      <w:r>
        <w:rPr>
          <w:rFonts w:ascii="宋体" w:eastAsia="宋体" w:hAnsi="宋体" w:cs="宋体" w:hint="eastAsia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水</w:t>
      </w: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=mg=27kg×10N/kg=270N.</w:t>
      </w:r>
    </w:p>
    <w:p>
      <w:pPr>
        <w:ind w:firstLine="630" w:firstLineChars="300"/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②鱼缸底部受到的水的压强p=ρ</w:t>
      </w:r>
      <w:r>
        <w:rPr>
          <w:rFonts w:ascii="宋体" w:eastAsia="宋体" w:hAnsi="宋体" w:cs="宋体" w:hint="eastAsia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水</w:t>
      </w: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gh=1.0×10</w:t>
      </w:r>
      <w:r>
        <w:rPr>
          <w:rFonts w:ascii="宋体" w:eastAsia="宋体" w:hAnsi="宋体" w:cs="宋体" w:hint="eastAsia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kg/m</w:t>
      </w:r>
      <w:r>
        <w:rPr>
          <w:rFonts w:ascii="宋体" w:eastAsia="宋体" w:hAnsi="宋体" w:cs="宋体" w:hint="eastAsia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×10N/kg×0.2m=2000Pa.</w:t>
      </w:r>
    </w:p>
    <w:p>
      <w:pPr>
        <w:ind w:firstLine="630" w:firstLineChars="300"/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1200cm</w:t>
      </w:r>
      <w:r>
        <w:rPr>
          <w:rFonts w:ascii="宋体" w:eastAsia="宋体" w:hAnsi="宋体" w:cs="宋体" w:hint="eastAsia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=0.12m</w:t>
      </w:r>
      <w:r>
        <w:rPr>
          <w:rFonts w:ascii="宋体" w:eastAsia="宋体" w:hAnsi="宋体" w:cs="宋体" w:hint="eastAsia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ind w:firstLine="630" w:firstLineChars="300"/>
        <w:rPr>
          <w:rFonts w:ascii="宋体" w:eastAsia="宋体" w:hAnsi="宋体" w:cs="宋体" w:hint="eastAsia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鱼缸底部受到的水的压</w:t>
      </w:r>
      <w:r>
        <w:rPr>
          <w:rFonts w:ascii="宋体" w:hAnsi="宋体" w:cs="宋体" w:hint="eastAsia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力</w:t>
      </w:r>
      <w:r>
        <w:rPr>
          <w:rFonts w:ascii="宋体" w:hAnsi="宋体" w:cs="宋体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F=ps=</w:t>
      </w: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2000Pa×0.12m</w:t>
      </w:r>
      <w:r>
        <w:rPr>
          <w:rFonts w:ascii="宋体" w:eastAsia="宋体" w:hAnsi="宋体" w:cs="宋体" w:hint="eastAsia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2</w:t>
      </w:r>
    </w:p>
    <w:p>
      <w:pPr>
        <w:ind w:firstLine="420" w:firstLineChars="200"/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③鱼缸对桌面产生的压强p=F/S=(270N+30N)/0.12m</w:t>
      </w:r>
      <w:r>
        <w:rPr>
          <w:rFonts w:ascii="宋体" w:eastAsia="宋体" w:hAnsi="宋体" w:cs="宋体" w:hint="eastAsia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=2500Pa.</w:t>
      </w:r>
    </w:p>
    <w:p>
      <w:pPr>
        <w:ind w:firstLine="630" w:firstLineChars="300"/>
        <w:rPr>
          <w:rFonts w:ascii="宋体" w:eastAsia="宋体" w:hAnsi="宋体" w:cs="宋体"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bidi w:val="0"/>
        <w:ind w:left="420" w:hanging="420" w:hangingChars="200"/>
        <w:rPr>
          <w:rFonts w:ascii="Times New Roman" w:eastAsia="宋体" w:hAnsi="Times New Roman" w:cs="Times New Roman" w:hint="default"/>
          <w:szCs w:val="21"/>
          <w:lang w:val="el-GR"/>
        </w:rPr>
      </w:pPr>
    </w:p>
    <w:p>
      <w:pPr>
        <w:rPr>
          <w:rFonts w:eastAsiaTheme="minorEastAsia" w:hint="default"/>
          <w:color w:val="FF0000"/>
          <w:kern w:val="0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BED3802"/>
    <w:rsid w:val="1FAB7DDD"/>
    <w:rsid w:val="1FFA6A0A"/>
    <w:rsid w:val="34F43478"/>
    <w:rsid w:val="3C871F09"/>
    <w:rsid w:val="3F286345"/>
    <w:rsid w:val="412F6F34"/>
    <w:rsid w:val="614D621C"/>
    <w:rsid w:val="61B25939"/>
    <w:rsid w:val="643C42D4"/>
    <w:rsid w:val="69D875C2"/>
    <w:rsid w:val="706609C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</dc:creator>
  <cp:lastModifiedBy>wang</cp:lastModifiedBy>
  <cp:revision>0</cp:revision>
  <dcterms:created xsi:type="dcterms:W3CDTF">2014-10-29T12:08:00Z</dcterms:created>
  <dcterms:modified xsi:type="dcterms:W3CDTF">2020-05-12T23:02:45Z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