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10528300</wp:posOffset>
            </wp:positionV>
            <wp:extent cx="457200" cy="2794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735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eastAsia="zh-CN"/>
        </w:rPr>
        <w:t>松桃县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2019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eastAsia="zh-CN"/>
        </w:rPr>
        <w:t>届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初中毕业生（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eastAsia="zh-CN"/>
        </w:rPr>
        <w:t>月考三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）统一考试</w:t>
      </w:r>
    </w:p>
    <w:p>
      <w:pPr>
        <w:spacing w:after="72" w:afterLines="30"/>
        <w:jc w:val="center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语文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eastAsia="zh-CN"/>
        </w:rPr>
        <w:t>参考答案</w:t>
      </w:r>
    </w:p>
    <w:p>
      <w:pPr>
        <w:snapToGrid w:val="0"/>
        <w:spacing w:line="264" w:lineRule="auto"/>
        <w:rPr>
          <w:rStyle w:val="Strong"/>
          <w:rFonts w:ascii="宋体" w:eastAsia="宋体" w:hAnsi="宋体" w:cs="宋体" w:hint="eastAsia"/>
          <w:color w:val="auto"/>
          <w:szCs w:val="21"/>
        </w:rPr>
      </w:pPr>
      <w:r>
        <w:rPr>
          <w:rStyle w:val="Strong"/>
          <w:rFonts w:ascii="宋体" w:eastAsia="宋体" w:hAnsi="宋体" w:cs="宋体" w:hint="eastAsia"/>
          <w:color w:val="auto"/>
          <w:szCs w:val="21"/>
          <w:lang w:eastAsia="zh-CN"/>
        </w:rPr>
        <w:t>卷</w:t>
      </w:r>
      <w:r>
        <w:rPr>
          <w:rFonts w:ascii="宋体" w:eastAsia="宋体" w:hAnsi="宋体" w:cs="宋体" w:hint="eastAsia"/>
          <w:color w:val="auto"/>
          <w:szCs w:val="21"/>
        </w:rPr>
        <w:fldChar w:fldCharType="begin"/>
      </w:r>
      <w:r>
        <w:rPr>
          <w:rStyle w:val="Strong"/>
          <w:rFonts w:ascii="宋体" w:eastAsia="宋体" w:hAnsi="宋体" w:cs="宋体" w:hint="eastAsia"/>
          <w:color w:val="auto"/>
          <w:szCs w:val="21"/>
        </w:rPr>
        <w:instrText xml:space="preserve"> = 1 \* ROMAN \* MERGEFORMAT </w:instrText>
      </w:r>
      <w:r>
        <w:rPr>
          <w:rFonts w:ascii="宋体" w:eastAsia="宋体" w:hAnsi="宋体" w:cs="宋体" w:hint="eastAsia"/>
          <w:color w:val="auto"/>
          <w:szCs w:val="21"/>
        </w:rPr>
        <w:fldChar w:fldCharType="separate"/>
      </w:r>
      <w:r>
        <w:rPr>
          <w:rFonts w:ascii="宋体" w:eastAsia="宋体" w:hAnsi="宋体" w:cs="宋体" w:hint="eastAsia"/>
          <w:color w:val="auto"/>
        </w:rPr>
        <w:t>I</w:t>
      </w:r>
      <w:r>
        <w:rPr>
          <w:rFonts w:ascii="宋体" w:eastAsia="宋体" w:hAnsi="宋体" w:cs="宋体" w:hint="eastAsia"/>
          <w:color w:val="auto"/>
          <w:szCs w:val="21"/>
        </w:rPr>
        <w:fldChar w:fldCharType="end"/>
      </w:r>
      <w:r>
        <w:rPr>
          <w:rStyle w:val="Strong"/>
          <w:rFonts w:ascii="宋体" w:eastAsia="宋体" w:hAnsi="宋体" w:cs="宋体" w:hint="eastAsia"/>
          <w:color w:val="auto"/>
          <w:szCs w:val="21"/>
          <w:lang w:eastAsia="zh-CN"/>
        </w:rPr>
        <w:t>：</w:t>
      </w:r>
      <w:r>
        <w:rPr>
          <w:rStyle w:val="Strong"/>
          <w:rFonts w:ascii="宋体" w:eastAsia="宋体" w:hAnsi="宋体" w:cs="宋体" w:hint="eastAsia"/>
          <w:color w:val="auto"/>
          <w:szCs w:val="21"/>
        </w:rPr>
        <w:t>（</w:t>
      </w:r>
      <w:r>
        <w:rPr>
          <w:rStyle w:val="Strong"/>
          <w:rFonts w:ascii="宋体" w:eastAsia="宋体" w:hAnsi="宋体" w:cs="宋体" w:hint="eastAsia"/>
          <w:color w:val="auto"/>
          <w:szCs w:val="21"/>
          <w:lang w:eastAsia="zh-CN"/>
        </w:rPr>
        <w:t>每小题</w:t>
      </w:r>
      <w:r>
        <w:rPr>
          <w:rStyle w:val="Strong"/>
          <w:rFonts w:ascii="宋体" w:eastAsia="宋体" w:hAnsi="宋体" w:cs="宋体" w:hint="eastAsia"/>
          <w:color w:val="auto"/>
          <w:szCs w:val="21"/>
          <w:lang w:val="en-US" w:eastAsia="zh-CN"/>
        </w:rPr>
        <w:t>3分，共30</w:t>
      </w:r>
      <w:r>
        <w:rPr>
          <w:rStyle w:val="Strong"/>
          <w:rFonts w:ascii="宋体" w:eastAsia="宋体" w:hAnsi="宋体" w:cs="宋体" w:hint="eastAsia"/>
          <w:color w:val="auto"/>
          <w:szCs w:val="21"/>
        </w:rPr>
        <w:t>分）</w:t>
      </w:r>
    </w:p>
    <w:p>
      <w:pPr>
        <w:snapToGrid w:val="0"/>
        <w:spacing w:line="264" w:lineRule="auto"/>
        <w:ind w:firstLine="315" w:firstLineChars="150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Style w:val="Strong"/>
          <w:rFonts w:ascii="宋体" w:eastAsia="宋体" w:hAnsi="宋体" w:cs="宋体" w:hint="eastAsia"/>
          <w:b w:val="0"/>
          <w:color w:val="auto"/>
          <w:szCs w:val="21"/>
        </w:rPr>
        <w:t>1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D   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</w:rPr>
        <w:t>2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C  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</w:rPr>
        <w:t>3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B  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</w:rPr>
        <w:t>4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A  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</w:rPr>
        <w:t>5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D   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</w:rPr>
        <w:t>6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C  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</w:rPr>
        <w:t>7</w:t>
      </w:r>
      <w:r>
        <w:rPr>
          <w:rStyle w:val="Strong"/>
          <w:rFonts w:ascii="宋体" w:eastAsia="宋体" w:hAnsi="宋体" w:cs="宋体" w:hint="eastAsia"/>
          <w:b w:val="0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B   </w:t>
      </w:r>
      <w:r>
        <w:rPr>
          <w:rFonts w:ascii="宋体" w:eastAsia="宋体" w:hAnsi="宋体" w:cs="宋体" w:hint="eastAsia"/>
          <w:color w:val="auto"/>
          <w:szCs w:val="21"/>
        </w:rPr>
        <w:t>8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C  </w:t>
      </w:r>
      <w:r>
        <w:rPr>
          <w:rFonts w:ascii="宋体" w:eastAsia="宋体" w:hAnsi="宋体" w:cs="宋体" w:hint="eastAsia"/>
          <w:color w:val="auto"/>
          <w:szCs w:val="21"/>
        </w:rPr>
        <w:t>9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B  </w:t>
      </w:r>
      <w:r>
        <w:rPr>
          <w:rFonts w:ascii="宋体" w:eastAsia="宋体" w:hAnsi="宋体" w:cs="宋体" w:hint="eastAsia"/>
          <w:color w:val="auto"/>
          <w:szCs w:val="21"/>
        </w:rPr>
        <w:t>10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D</w:t>
      </w:r>
    </w:p>
    <w:p>
      <w:pPr>
        <w:snapToGrid w:val="0"/>
        <w:spacing w:line="264" w:lineRule="auto"/>
        <w:rPr>
          <w:rStyle w:val="Strong"/>
          <w:rFonts w:ascii="宋体" w:eastAsia="宋体" w:hAnsi="宋体" w:cs="宋体" w:hint="eastAsia"/>
          <w:b/>
          <w:bCs/>
          <w:color w:val="auto"/>
          <w:szCs w:val="21"/>
          <w:lang w:val="en-US" w:eastAsia="zh-CN"/>
        </w:rPr>
      </w:pPr>
      <w:r>
        <w:rPr>
          <w:rStyle w:val="Strong"/>
          <w:rFonts w:ascii="宋体" w:eastAsia="宋体" w:hAnsi="宋体" w:cs="宋体" w:hint="eastAsia"/>
          <w:b/>
          <w:bCs/>
          <w:color w:val="auto"/>
          <w:szCs w:val="21"/>
          <w:lang w:eastAsia="zh-CN"/>
        </w:rPr>
        <w:t>卷</w:t>
      </w:r>
      <w:r>
        <w:rPr>
          <w:rFonts w:ascii="宋体" w:eastAsia="宋体" w:hAnsi="宋体" w:cs="宋体" w:hint="eastAsia"/>
          <w:b/>
          <w:bCs/>
          <w:color w:val="auto"/>
          <w:szCs w:val="21"/>
          <w:lang w:eastAsia="zh-CN"/>
        </w:rPr>
        <w:fldChar w:fldCharType="begin"/>
      </w:r>
      <w:r>
        <w:rPr>
          <w:rStyle w:val="Strong"/>
          <w:rFonts w:ascii="宋体" w:eastAsia="宋体" w:hAnsi="宋体" w:cs="宋体" w:hint="eastAsia"/>
          <w:b/>
          <w:bCs/>
          <w:color w:val="auto"/>
          <w:szCs w:val="21"/>
          <w:lang w:eastAsia="zh-CN"/>
        </w:rPr>
        <w:instrText xml:space="preserve"> = 2 \* ROMAN \* MERGEFORMAT </w:instrText>
      </w:r>
      <w:r>
        <w:rPr>
          <w:rFonts w:ascii="宋体" w:eastAsia="宋体" w:hAnsi="宋体" w:cs="宋体" w:hint="eastAsia"/>
          <w:b/>
          <w:bCs/>
          <w:color w:val="auto"/>
          <w:szCs w:val="21"/>
          <w:lang w:eastAsia="zh-CN"/>
        </w:rPr>
        <w:fldChar w:fldCharType="separate"/>
      </w:r>
      <w:r>
        <w:rPr>
          <w:rStyle w:val="Strong"/>
          <w:rFonts w:ascii="宋体" w:eastAsia="宋体" w:hAnsi="宋体" w:cs="宋体" w:hint="eastAsia"/>
          <w:b/>
          <w:bCs/>
          <w:color w:val="auto"/>
          <w:szCs w:val="21"/>
          <w:lang w:eastAsia="zh-CN"/>
        </w:rPr>
        <w:t>II</w:t>
      </w:r>
      <w:r>
        <w:rPr>
          <w:rFonts w:ascii="宋体" w:eastAsia="宋体" w:hAnsi="宋体" w:cs="宋体" w:hint="eastAsia"/>
          <w:b/>
          <w:bCs/>
          <w:color w:val="auto"/>
          <w:szCs w:val="21"/>
          <w:lang w:eastAsia="zh-CN"/>
        </w:rPr>
        <w:fldChar w:fldCharType="end"/>
      </w:r>
      <w:r>
        <w:rPr>
          <w:rStyle w:val="Strong"/>
          <w:rFonts w:ascii="宋体" w:eastAsia="宋体" w:hAnsi="宋体" w:cs="宋体" w:hint="eastAsia"/>
          <w:b/>
          <w:bCs/>
          <w:color w:val="auto"/>
          <w:szCs w:val="21"/>
          <w:lang w:eastAsia="zh-CN"/>
        </w:rPr>
        <w:t>：</w:t>
      </w:r>
      <w:r>
        <w:rPr>
          <w:rStyle w:val="Strong"/>
          <w:rFonts w:ascii="宋体" w:eastAsia="宋体" w:hAnsi="宋体" w:cs="宋体" w:hint="eastAsia"/>
          <w:b/>
          <w:bCs/>
          <w:color w:val="auto"/>
          <w:szCs w:val="21"/>
          <w:lang w:val="en-US" w:eastAsia="zh-CN"/>
        </w:rPr>
        <w:t>120分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11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.</w:t>
      </w:r>
      <w:r>
        <w:rPr>
          <w:rStyle w:val="Strong"/>
          <w:rFonts w:ascii="宋体" w:eastAsia="宋体" w:hAnsi="宋体" w:cs="宋体" w:hint="eastAsia"/>
          <w:b w:val="0"/>
          <w:color w:val="auto"/>
          <w:sz w:val="21"/>
          <w:szCs w:val="21"/>
          <w:u w:val="none"/>
        </w:rPr>
        <w:t>（6分）</w:t>
      </w:r>
    </w:p>
    <w:p>
      <w:pPr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⑴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我又担心不能与学识渊博的老师和名人交游，曾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快步走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百里之外，手拿着经书向同乡前辈求教。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（3分）</w:t>
      </w:r>
    </w:p>
    <w:p>
      <w:pPr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⑵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同学舍的求学者，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都穿着华丽的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丝绸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衣服，戴着装饰着红缨和宝石的帽子，腰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间佩戴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白玉环。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（3分） 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12．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每空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1分，共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6分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，错一字不得分。</w:t>
      </w:r>
    </w:p>
    <w:p>
      <w:pPr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⑴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燕然未勒归无计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4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⑷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八年风味徒思浙</w:t>
      </w:r>
    </w:p>
    <w:p>
      <w:pPr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⑵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八百里分麾下炙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5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⑸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因为我对这土地爱得深沉</w:t>
      </w:r>
    </w:p>
    <w:p>
      <w:pPr>
        <w:ind w:left="525" w:hanging="315" w:leftChars="100" w:hangingChars="150"/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3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⑶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瀚海阑干百丈冰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6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⑹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苟全性命于乱世</w:t>
      </w:r>
    </w:p>
    <w:p>
      <w:pPr>
        <w:jc w:val="left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13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（6分）</w:t>
      </w:r>
    </w:p>
    <w:p>
      <w:pPr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⑴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（每一点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1分，共4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分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1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牵黄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”“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擎苍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”的行为；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锦帽貂裘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的装束；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3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千骑卷平冈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”的场面；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instrText xml:space="preserve"> = 4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④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自比孙权的语气。</w:t>
      </w:r>
    </w:p>
    <w:p>
      <w:pPr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⑵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2分）“遣冯唐”作者以魏尚自比，表示可以为国戍边（1分）；“射天狼”，喻指打败侵扰边境的西夏军队（1分）。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14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每小题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2分，共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6分）</w:t>
      </w:r>
    </w:p>
    <w:p>
      <w:pPr>
        <w:ind w:firstLine="420" w:firstLineChars="200"/>
        <w:rPr>
          <w:rFonts w:ascii="宋体" w:eastAsia="宋体" w:hAnsi="宋体" w:cs="宋体" w:hint="default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⑴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）各位老师、各位同学，大家好！今天，我们于此开展</w:t>
      </w:r>
      <w:r>
        <w:rPr>
          <w:rFonts w:hAnsi="宋体" w:hint="eastAsia"/>
          <w:color w:val="auto"/>
          <w:szCs w:val="21"/>
          <w:lang w:eastAsia="zh-CN"/>
        </w:rPr>
        <w:t>以</w:t>
      </w:r>
      <w:r>
        <w:rPr>
          <w:rFonts w:hAnsi="宋体" w:hint="eastAsia"/>
          <w:color w:val="auto"/>
          <w:szCs w:val="21"/>
        </w:rPr>
        <w:t>“致敬医护，共抗疫情</w:t>
      </w:r>
      <w:r>
        <w:rPr>
          <w:rFonts w:hAnsi="宋体" w:hint="eastAsia"/>
          <w:color w:val="auto"/>
          <w:szCs w:val="21"/>
          <w:lang w:eastAsia="zh-CN"/>
        </w:rPr>
        <w:t>”为主题的活动，一方面了解疫情势态，学习疫情防控知识，形成共同抗疫；另一方面表达对奋战在防控疫情一线上的医护人员致敬。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疫情无情人有情。他们冒着被感染乃至死亡的危险，抛家舍亲毫无犹豫奔赴一线，用心血和汗水甚至是生命打下了这场没有硝烟的战争，赢得患者健康的生命。虽然救死扶伤是他们的本质工作，但他们也是有血有肉、有家的人。在防控疫情的战斗中，他们是勇士，是值得我们油然而生敬意的最为可爱的人。我们要铭记他们的叮嘱，严格自律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共抗疫情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。接下来，我们将按拟定方案开展本次主题活动。</w:t>
      </w:r>
    </w:p>
    <w:p>
      <w:pPr>
        <w:ind w:firstLine="420" w:firstLineChars="200"/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⑵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2020年1月23日至2月17日止，我国现有确诊病列呈逐日上升态势。2月17日是现有确诊病列新增最高数的拐点，此日之后现有新增病列逐日减少，至4月8日现有确诊病列仅为2194。                  </w:t>
      </w:r>
    </w:p>
    <w:p>
      <w:pPr>
        <w:ind w:firstLine="420" w:firstLineChars="200"/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instrText xml:space="preserve"> = 3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⑶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color w:val="auto"/>
          <w:kern w:val="2"/>
          <w:sz w:val="21"/>
          <w:szCs w:val="21"/>
          <w:u w:val="none"/>
          <w:lang w:val="en-US" w:eastAsia="zh-CN" w:bidi="ar-SA"/>
        </w:rPr>
        <w:t>（2分）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instrText xml:space="preserve"> = 1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减少不必要的外出活动，不串門、不集會、不聚餐、不去人员密集场所﹔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戴口罩、勤洗手、拒野味，有效切断病毒传播途径﹔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instrText xml:space="preserve"> = 3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发现疫情主动报告、主动隔离、主动就診，以实际行行动身边亲友和群群众好示范，确保自身安全，确保他人安全。              </w:t>
      </w:r>
    </w:p>
    <w:p>
      <w:pPr>
        <w:numPr>
          <w:ilvl w:val="0"/>
          <w:numId w:val="1"/>
        </w:numPr>
        <w:spacing w:line="400" w:lineRule="exact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分）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运用拟人修辞（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1分）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，生动形象地点明了本文的中心论点，表明了作者的确观点态度，并激发读者兴趣（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3分）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。</w:t>
      </w:r>
    </w:p>
    <w:p>
      <w:pPr>
        <w:numPr>
          <w:ilvl w:val="0"/>
          <w:numId w:val="1"/>
        </w:numPr>
        <w:spacing w:line="400" w:lineRule="exact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每一个要点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1分，共3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分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1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文学经典价值；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文学经典的内涵；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instrText xml:space="preserve"> = 3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深读经典的收获。</w:t>
      </w:r>
    </w:p>
    <w:p>
      <w:pPr>
        <w:spacing w:line="400" w:lineRule="exact"/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17．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（每一方法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1分，共3分；分析其一之法的作用2分；全题共5分）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引用论证、举例论证、对比论证。示例：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instrText xml:space="preserve"> = 1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引用论证，如引用意大利作家卡尔维诺之说——“经典是一本每次重读都像初读那样带来发现的书”，“是一本即使我们初读也好像是在重温的书”论述文学经典价值；引用法国启蒙思想家孟德斯鸠之说——“喜欢读书，就等于把生活中寂寞的辰光换成巨大享受的时刻”论证深读经典的收获 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举例论证，用《荷马史诗》、海明威的小说、《麦田里的守望者》等例子，有力论证了学经典在表层故事之外，内里还是一部文化史、文学史和精神史，需要凝神静气，深度阅读。增强了说服力。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instrText xml:space="preserve"> = 3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对比论证，用“碎片化阅读”与“深度阅读”对比论述了“深度阅读”经典的收获。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（2分）                                                          </w:t>
      </w:r>
    </w:p>
    <w:p>
      <w:pPr>
        <w:spacing w:line="400" w:lineRule="exact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18．（6分）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示例：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《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平凡的世界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》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是一部现实主义小说，也是小说化的家族史。路遥高度浓缩了中国西北农村的历史变迁过程，作品达到了思想性与艺术性的高度统一，特别是主人公面对困境艰苦奋斗的精神，对今天的我们仍有许多启迪。</w:t>
      </w:r>
    </w:p>
    <w:p>
      <w:pPr>
        <w:spacing w:line="380" w:lineRule="exact"/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19.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苏州园林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务必使游览者无论站在哪个点上，眼前总是一幅完美的图画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。（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）</w:t>
      </w:r>
    </w:p>
    <w:p>
      <w:pPr>
        <w:numPr>
          <w:ilvl w:val="0"/>
          <w:numId w:val="0"/>
        </w:numPr>
        <w:spacing w:line="380" w:lineRule="exact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20.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（4分）排比（2分）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一气呵成，说明设计者和匠师们为达到其一致要求，是如何设计园林的。（2分）</w:t>
      </w:r>
    </w:p>
    <w:p>
      <w:pPr>
        <w:spacing w:line="380" w:lineRule="exact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21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（6分）总分结构。（2分）作比较（2分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说明苏州园林的建筑与其他建筑的区别：不讲究对称。（2分）</w:t>
      </w:r>
    </w:p>
    <w:p>
      <w:pPr>
        <w:spacing w:line="380" w:lineRule="exact"/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22.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（3分）不能去掉。“往往”指一般情况，特殊情况除外（2分）。用在这里说明并不是所有的河道都安排有桥梁，充分体现了说明文语言的准确性、真实性。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eastAsia="zh-CN"/>
        </w:rPr>
        <w:t>）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2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．写作。（60分）评分见《作文评分标准》</w:t>
      </w:r>
    </w:p>
    <w:tbl>
      <w:tblPr>
        <w:tblStyle w:val="TableNormal"/>
        <w:tblW w:w="82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965"/>
        <w:gridCol w:w="1703"/>
        <w:gridCol w:w="1525"/>
        <w:gridCol w:w="1638"/>
      </w:tblGrid>
      <w:tr>
        <w:tblPrEx>
          <w:tblW w:w="82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widowControl/>
              <w:adjustRightInd/>
              <w:spacing w:line="20" w:lineRule="atLeast"/>
              <w:ind w:firstLine="630" w:firstLineChars="300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类别</w:t>
            </w:r>
          </w:p>
          <w:p>
            <w:pPr>
              <w:widowControl/>
              <w:adjustRightInd/>
              <w:spacing w:line="20" w:lineRule="atLeast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项目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ab/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 xml:space="preserve">  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内容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语言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结构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书写</w:t>
            </w:r>
          </w:p>
        </w:tc>
      </w:tr>
      <w:tr>
        <w:tblPrEx>
          <w:tblW w:w="82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一类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55分-60分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思想感情健康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内容充实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中心突出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文从字顺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语言准确生动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结构严谨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层次清楚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字体工整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书写规范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卷面整洁</w:t>
            </w:r>
          </w:p>
        </w:tc>
      </w:tr>
      <w:tr>
        <w:tblPrEx>
          <w:tblW w:w="82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二类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43分-54分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思想感情健康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内容具体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中心突出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文从字顺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表达清楚连贯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结构完整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层次比较清楚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字体工整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书写规范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卷面较整洁</w:t>
            </w:r>
          </w:p>
        </w:tc>
      </w:tr>
      <w:tr>
        <w:tblPrEx>
          <w:tblW w:w="82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三类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32分-42分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思想感情健康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内容较具体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中心基本明确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语言通顺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病句少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结构基本完整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层次基本清楚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字迹清楚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有少量错别字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少量涂改</w:t>
            </w:r>
          </w:p>
        </w:tc>
      </w:tr>
      <w:tr>
        <w:tblPrEx>
          <w:tblW w:w="82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四类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20分-31分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思想感情基本健康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内容不够具体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中心不够明确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语言基本通顺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病句繁琐句较多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结构不够完整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层次基本清楚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字迹潦草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错别字较多</w:t>
            </w:r>
          </w:p>
        </w:tc>
      </w:tr>
      <w:tr>
        <w:tblPrEx>
          <w:tblW w:w="82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五类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19分以下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思想感情不健康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内容不具体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中心不明确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语句不通顺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病句繁琐句多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结构不够完整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层次不清楚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字迹不易辨认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错别字多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/>
              </w:rPr>
              <w:t>卷面很不整洁</w:t>
            </w:r>
          </w:p>
        </w:tc>
      </w:tr>
    </w:tbl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说明: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ab/>
      </w:r>
    </w:p>
    <w:p>
      <w:pPr>
        <w:widowControl/>
        <w:adjustRightInd/>
        <w:spacing w:line="20" w:lineRule="atLeast"/>
        <w:ind w:left="420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（1）加分：以下四项有一项突出者，可酌情加1—4分，加到满分60分为止。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 xml:space="preserve">        （1）感情真挚感人，有独特感受和体验。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 xml:space="preserve">        （2）立意新颖、深刻。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 xml:space="preserve">        （3）构思巧妙。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 xml:space="preserve">        （4）语言很有特色。</w:t>
      </w:r>
    </w:p>
    <w:p>
      <w:pPr>
        <w:widowControl/>
        <w:adjustRightInd/>
        <w:spacing w:line="20" w:lineRule="atLeast"/>
        <w:ind w:left="420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（2）扣分：有以下情况者，根据要求扣分。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 xml:space="preserve">        （1）没有题目，扣2分。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 xml:space="preserve">        （2）每个错别字扣1分；重复的不计；扣满3分为止。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 xml:space="preserve">        （3）每少20字扣1分；不足200字只能在四类及以下给分。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</w:rPr>
        <w:sectPr>
          <w:footerReference w:type="default" r:id="rId6"/>
          <w:pgSz w:w="11910" w:h="16840"/>
          <w:pgMar w:top="1580" w:right="1580" w:bottom="1180" w:left="1680" w:header="0" w:footer="985" w:gutter="0"/>
          <w:pgNumType w:start="1"/>
          <w:cols w:num="1" w:space="720"/>
        </w:sectPr>
      </w:pP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 xml:space="preserve">        （4）不合题意，只能在四类及以下给分。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tabs>
        <w:tab w:val="left" w:pos="4928"/>
      </w:tabs>
      <w:kinsoku w:val="0"/>
      <w:overflowPunct w:val="0"/>
      <w:spacing w:line="14" w:lineRule="auto"/>
      <w:rPr>
        <w:rFonts w:eastAsia="等线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2631440</wp:posOffset>
              </wp:positionH>
              <wp:positionV relativeFrom="page">
                <wp:posOffset>9926955</wp:posOffset>
              </wp:positionV>
              <wp:extent cx="139700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3970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BodyText"/>
                            <w:kinsoku w:val="0"/>
                            <w:overflowPunct w:val="0"/>
                            <w:spacing w:line="200" w:lineRule="exac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2050" type="#_x0000_t202" style="width:110pt;height:11pt;margin-top:781.65pt;margin-left:207.2pt;mso-height-relative:page;mso-position-horizontal-relative:page;mso-position-vertical-relative:page;mso-width-relative:page;position:absolute;z-index:-251657216" coordsize="21600,21600" o:allowincell="f" filled="f" stroked="f">
              <v:textbox inset="0,0,0,0">
                <w:txbxContent>
                  <w:p>
                    <w:pPr>
                      <w:pStyle w:val="BodyText"/>
                      <w:kinsoku w:val="0"/>
                      <w:overflowPunct w:val="0"/>
                      <w:spacing w:line="200" w:lineRule="exac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BEADD5A"/>
    <w:multiLevelType w:val="singleLevel"/>
    <w:tmpl w:val="6BEADD5A"/>
    <w:lvl w:ilvl="0">
      <w:start w:val="1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5853CB"/>
    <w:rsid w:val="225853C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after="12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Strong">
    <w:name w:val="Strong"/>
    <w:basedOn w:val="DefaultParagraphFont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晨帆</dc:creator>
  <cp:lastModifiedBy>晨帆</cp:lastModifiedBy>
  <cp:revision>1</cp:revision>
  <dcterms:created xsi:type="dcterms:W3CDTF">2020-04-22T00:59:00Z</dcterms:created>
  <dcterms:modified xsi:type="dcterms:W3CDTF">2020-04-22T01:01:06Z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