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方正小标宋简体" w:hAnsi="方正小标宋简体" w:eastAsia="方正小标宋简体" w:cs="方正小标宋简体"/>
          <w:b/>
          <w:bCs/>
          <w:w w:val="100"/>
          <w:sz w:val="36"/>
          <w:szCs w:val="36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3672185" cy="8783320"/>
            <wp:effectExtent l="0" t="0" r="5715" b="17780"/>
            <wp:docPr id="3" name="图片 3" descr="2020年适应性试题语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0年适应性试题语文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367218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3674725" cy="9204325"/>
            <wp:effectExtent l="0" t="0" r="3175" b="15875"/>
            <wp:docPr id="2" name="图片 2" descr="2020年适应性试题语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0年适应性试题语文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674725" cy="920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3159740" cy="9251315"/>
            <wp:effectExtent l="0" t="0" r="3810" b="6985"/>
            <wp:docPr id="1" name="图片 1" descr="2020年适应性试题语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0年适应性试题语文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159740" cy="925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br w:type="page"/>
      </w:r>
      <w:r>
        <w:rPr>
          <w:rFonts w:hint="eastAsia" w:ascii="方正小标宋简体" w:hAnsi="方正小标宋简体" w:eastAsia="方正小标宋简体" w:cs="方正小标宋简体"/>
          <w:b/>
          <w:bCs/>
          <w:w w:val="100"/>
          <w:sz w:val="32"/>
          <w:szCs w:val="32"/>
        </w:rPr>
        <w:t>雁江区2020—2021学年度上期九年级期末质量监测题</w:t>
      </w:r>
    </w:p>
    <w:p>
      <w:pPr>
        <w:jc w:val="center"/>
        <w:rPr>
          <w:rFonts w:ascii="方正小标宋简体" w:hAnsi="方正小标宋简体" w:eastAsia="方正小标宋简体" w:cs="方正小标宋简体"/>
          <w:w w:val="90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w w:val="100"/>
          <w:sz w:val="36"/>
          <w:szCs w:val="36"/>
        </w:rPr>
        <w:t>语文参考答案及评分意见</w:t>
      </w:r>
    </w:p>
    <w:p>
      <w:pPr>
        <w:spacing w:line="320" w:lineRule="exact"/>
        <w:rPr>
          <w:rFonts w:ascii="黑体" w:hAnsi="宋体" w:eastAsia="黑体" w:cs="宋体"/>
          <w:b/>
          <w:bCs/>
          <w:sz w:val="21"/>
          <w:szCs w:val="21"/>
        </w:rPr>
      </w:pPr>
      <w:r>
        <w:rPr>
          <w:rFonts w:hint="eastAsia" w:ascii="黑体" w:hAnsi="宋体" w:eastAsia="黑体" w:cs="宋体"/>
          <w:b/>
          <w:bCs/>
          <w:sz w:val="21"/>
          <w:szCs w:val="21"/>
        </w:rPr>
        <w:t xml:space="preserve">一、（共21分，每小题3分）  1. A   2. C 3. C    4．D   5. D    6. A   7. B </w:t>
      </w:r>
    </w:p>
    <w:p>
      <w:pPr>
        <w:spacing w:line="320" w:lineRule="exact"/>
        <w:rPr>
          <w:rFonts w:ascii="黑体" w:hAnsi="黑体" w:eastAsia="黑体" w:cs="黑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宋体" w:eastAsia="黑体" w:cs="宋体"/>
          <w:b/>
          <w:bCs/>
          <w:sz w:val="21"/>
          <w:szCs w:val="21"/>
        </w:rPr>
        <w:t>二、</w:t>
      </w:r>
      <w:r>
        <w:rPr>
          <w:rFonts w:hint="eastAsia" w:ascii="黑体" w:hAnsi="黑体" w:eastAsia="黑体" w:cs="黑体"/>
          <w:b/>
          <w:bCs/>
          <w:sz w:val="21"/>
          <w:szCs w:val="21"/>
        </w:rPr>
        <w:t>（24分）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8.（4分）（1）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huī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 xml:space="preserve">    （2）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jí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 xml:space="preserve">     （3）殷   （4）稠  （各1分）</w:t>
      </w:r>
    </w:p>
    <w:p>
      <w:pPr>
        <w:spacing w:line="320" w:lineRule="exact"/>
        <w:ind w:firstLine="422" w:firstLineChars="200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9. ( 8分，第1、2小题各1分，第3、4、5小题各2分)</w:t>
      </w:r>
    </w:p>
    <w:p>
      <w:pPr>
        <w:widowControl/>
        <w:shd w:val="clear" w:color="auto" w:fill="FFFFFF"/>
        <w:spacing w:line="320" w:lineRule="exact"/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山雨欲来风满楼</w:t>
      </w: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（2）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鸡声茅店月</w:t>
      </w: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（3）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北国风光，千里冰封，万里雪飘</w:t>
      </w:r>
    </w:p>
    <w:p>
      <w:pPr>
        <w:widowControl/>
        <w:shd w:val="clear" w:color="auto" w:fill="FFFFFF"/>
        <w:spacing w:line="320" w:lineRule="exact"/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（4）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欲为圣明除弊事，肯将衰朽惜残年</w:t>
      </w: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   （5）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寂寂江山摇落处，怜君何事到天涯</w:t>
      </w:r>
    </w:p>
    <w:p>
      <w:pPr>
        <w:spacing w:line="320" w:lineRule="exact"/>
        <w:ind w:firstLine="420" w:firstLineChars="200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华文中宋" w:hAnsi="华文中宋" w:eastAsia="华文中宋" w:cs="宋体"/>
          <w:b/>
          <w:bCs/>
          <w:color w:val="000000" w:themeColor="text1"/>
          <w:sz w:val="21"/>
          <w:szCs w:val="21"/>
          <w:shd w:val="clear" w:color="auto" w:fill="FFFFFF"/>
          <w:lang w:val="en-US" w:eastAsia="zh-CN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华文中宋" w:hAnsi="华文中宋" w:eastAsia="华文中宋" w:cs="宋体"/>
          <w:b/>
          <w:bCs/>
          <w:color w:val="000000" w:themeColor="text1"/>
          <w:sz w:val="2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.（6分）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（1）这条计策是“智取生辰纲”，（1分）吴用带领着晁盖等人打扮成卖枣客，在黄泥冈上与杨志相遇（1分）。白胜打扮成卖酒商，吴用以天热口渴买酒喝为由，诱使杨志等人喝下被下了蒙汗药的酒。待杨志等人晕去后，吴用等把生辰纲夺走（1分）。</w:t>
      </w:r>
    </w:p>
    <w:p>
      <w:pPr>
        <w:widowControl/>
        <w:spacing w:line="320" w:lineRule="exact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（2）这个人是青面兽杨志（1分）。杨志精明能干，谨慎小心。例如在押送金银担的路途上，他多次变更出行时间，与吴用等人相遇时小心探问。他刚愎自用，不善于处理人际关系，粗暴，例如他在赶路时对下属轻则骂，重则打。（2分）</w:t>
      </w:r>
    </w:p>
    <w:p>
      <w:pPr>
        <w:pStyle w:val="3"/>
        <w:shd w:val="clear" w:color="auto" w:fill="FFFFFF"/>
        <w:spacing w:before="0" w:beforeAutospacing="0" w:after="0" w:afterAutospacing="0" w:line="320" w:lineRule="exact"/>
        <w:ind w:firstLine="422" w:firstLineChars="200"/>
        <w:rPr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11.（6分)（1）示例一：梦幻花溪河，浪漫打卡地   示例二：醉美休闲游，留恋花溪河   示例三：生态花溪润大地，自然秘境写传奇  示例四：人间</w:t>
      </w:r>
      <w:r>
        <w:rPr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山水画卷</w:t>
      </w: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乡野</w:t>
      </w: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花溪最美  （2）示例一：“资阳花溪河生态环境”调查    示例二：“梦幻花溪河”摄影大赛    示例三：“最美资阳花溪河”的书画比赛 </w:t>
      </w:r>
    </w:p>
    <w:p>
      <w:pPr>
        <w:pStyle w:val="3"/>
        <w:shd w:val="clear" w:color="auto" w:fill="FFFFFF"/>
        <w:spacing w:before="0" w:beforeAutospacing="0" w:after="0" w:afterAutospacing="0" w:line="320" w:lineRule="exact"/>
        <w:rPr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（3）资阳</w:t>
      </w:r>
      <w:r>
        <w:rPr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花溪河</w:t>
      </w: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景区因</w:t>
      </w:r>
      <w:r>
        <w:rPr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花溪河独特的地理环境形成了秀丽的自然景观。这一段河面宽阔，河水平静，两岸绿树成荫，翠竹掩映，清澈溪水倒映着两岸，形成</w:t>
      </w: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“</w:t>
      </w:r>
      <w:r>
        <w:rPr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山在水中，舟在山上</w:t>
      </w: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”</w:t>
      </w:r>
      <w:r>
        <w:rPr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的奇特景观</w:t>
      </w: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，是最为理想的旅游、休闲、康养乐园。 </w:t>
      </w:r>
    </w:p>
    <w:p>
      <w:pPr>
        <w:spacing w:line="320" w:lineRule="exact"/>
        <w:rPr>
          <w:rFonts w:ascii="黑体" w:hAnsi="黑体" w:eastAsia="黑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三、（45分）</w:t>
      </w:r>
    </w:p>
    <w:p>
      <w:pPr>
        <w:spacing w:line="320" w:lineRule="exact"/>
        <w:ind w:firstLine="422" w:firstLineChars="200"/>
        <w:rPr>
          <w:rFonts w:ascii="黑体" w:hAnsi="黑体" w:eastAsia="黑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bCs/>
          <w:color w:val="000000" w:themeColor="text1"/>
          <w:sz w:val="2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(一)（ 16分）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．（4分）①“他”是一个勤劳淳朴的农民工：为了改变生活条件，辛苦劳动，努力挣钱．②“他”是一个有责任担当的好父亲：为了儿子娶媳妇，勇担父亲责任，挣钱翻盖房子；③“他”是一个易于满足的劳动者：一碗红烧牛肉面，对“他”来说也是人生一大享受。（任选2点作答即可，只概括不分析酌情给分，意思相同即可）</w:t>
      </w:r>
    </w:p>
    <w:p>
      <w:pPr>
        <w:widowControl/>
        <w:spacing w:line="320" w:lineRule="exact"/>
        <w:ind w:firstLine="422" w:firstLineChars="200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．（4分）运用了细节描写的手法（回答动作和神态描写也行，只回答神态描写给1分）。（2分）这些词表明“他”吃牛肉时慎重的态度及对食物的尊重，（1分）同时说明了生活中美好的东西来之不易。（1分）（意思相同即可）</w:t>
      </w:r>
    </w:p>
    <w:p>
      <w:pPr>
        <w:widowControl/>
        <w:spacing w:line="320" w:lineRule="exact"/>
        <w:ind w:firstLine="422" w:firstLineChars="200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．（3分）①碗里有好几块牛肉，其中有一块特别大，有点异常；②师傅打饭时手没有抖，将大块牛肉放在了他的碗里，暗示师傅可能知道那是块姜；③那深酱色的肉，吸足了调料，暗示姜被佐料染色后和牛肉相似；④他夹起那块肉，发觉并没有想象中那么沉，暗示这可能不是牛肉。（任选三处作答，意思相同即可）</w:t>
      </w:r>
    </w:p>
    <w:p>
      <w:pPr>
        <w:widowControl/>
        <w:spacing w:line="320" w:lineRule="exact"/>
        <w:ind w:firstLine="422" w:firstLineChars="200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．（5分）（1）我认同第一个观点（1分）。小说中写他为了能吃上一碗红烧牛肉面跑着奔向食堂，去看的工资还没领到手，一块牛肉在他的心中分量竟然如此重等，都写出了打工者生活的艰辛（2分）。现实中有的农民工辛苦一年却拿不到工资，甚至连回家的路费都没有，有的农民工吃住条件差，连人身安全都没有保障，生活很艰辛（2分）。（2）我认同第二种观点（1分）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。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小说中的他从小就有把好东西留在最后吃的好习惯，第一双回力鞋舍不得穿，吃牛肉面时把好吃的牛肉放在最后等说明了先苦后甜，生活有奔头（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。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虽然初三的学习生活又苦又累，但通过自己的努力拼搏考上理想的学校是令人高兴的，阳光总在风雨后（2分）。（扣住文本，能够联系生活实际，言之成理即可）</w:t>
      </w:r>
    </w:p>
    <w:p>
      <w:pPr>
        <w:spacing w:line="320" w:lineRule="exact"/>
        <w:ind w:firstLine="422" w:firstLineChars="200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bCs/>
          <w:color w:val="000000" w:themeColor="text1"/>
          <w:sz w:val="2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（二）（11分）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54000" cy="254000"/>
            <wp:effectExtent l="0" t="0" r="12700" b="12700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. (2分)俭以养德（或“静以修身，俭以养德”）</w:t>
      </w:r>
    </w:p>
    <w:p>
      <w:pPr>
        <w:widowControl/>
        <w:spacing w:line="320" w:lineRule="exact"/>
        <w:ind w:firstLine="422" w:firstLineChars="200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17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. (4分)第④段运用了举例论证的方法，列举云南省省委书记白恩培这一典型的事例，从反面有力地论证了“不能坚守节俭的底线，最终害人害己”的论点。第⑤段运用了道理论证的方法，引用了《左传》和白居易的名言警句有力的论证了“节俭可以给人带来益处，奢侈会把人推向深渊”这一论点。</w:t>
      </w:r>
    </w:p>
    <w:p>
      <w:pPr>
        <w:widowControl/>
        <w:spacing w:line="320" w:lineRule="exact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【评分标准：4分。论证方法2分，作用2分。意思相近即可</w:t>
      </w:r>
      <w:bookmarkStart w:id="0" w:name="_GoBack"/>
      <w:bookmarkEnd w:id="0"/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，有欠缺酌情扣分】</w:t>
      </w:r>
    </w:p>
    <w:p>
      <w:pPr>
        <w:widowControl/>
        <w:spacing w:line="320" w:lineRule="exact"/>
        <w:ind w:firstLine="422" w:firstLineChars="200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. (2 分）B</w:t>
      </w:r>
    </w:p>
    <w:p>
      <w:pPr>
        <w:widowControl/>
        <w:spacing w:line="320" w:lineRule="exact"/>
        <w:ind w:firstLine="422" w:firstLineChars="200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. (3分）示例：俭以养德，一个“俭”字，说起来容易做起来难，只有做到，我们才能保持自己的操守，硪砺自己的德行，不断提升自己！</w:t>
      </w:r>
    </w:p>
    <w:p>
      <w:pPr>
        <w:widowControl/>
        <w:spacing w:line="320" w:lineRule="exact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【评分标准：3分。回应论点给1分，能结合文章内容用自己语言总结全文给2分。有欠缺 酌情扣分】</w:t>
      </w:r>
    </w:p>
    <w:p>
      <w:pPr>
        <w:spacing w:line="320" w:lineRule="exact"/>
        <w:ind w:firstLine="422" w:firstLineChars="200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bCs/>
          <w:color w:val="000000" w:themeColor="text1"/>
          <w:sz w:val="2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（三）（12分）  </w:t>
      </w: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20.(1)客居    (2)这    (3)起，兴起 发生    (4)刚好，恰巧</w:t>
      </w:r>
    </w:p>
    <w:p>
      <w:pPr>
        <w:widowControl/>
        <w:spacing w:line="320" w:lineRule="exact"/>
        <w:ind w:firstLine="422" w:firstLineChars="200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21.(1)别说相公您痴，还有比您更痴的人。(2分)(2)这才知道郊外田野未尝没有春天，只是城里居住的人不知道有这样的变化啊。(2分)</w:t>
      </w:r>
    </w:p>
    <w:p>
      <w:pPr>
        <w:widowControl/>
        <w:spacing w:line="320" w:lineRule="exact"/>
        <w:ind w:firstLine="422" w:firstLineChars="200"/>
        <w:jc w:val="left"/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22.凝静清绝(开阔辽远、纯洁静谧、清新淡雅)(1分)生机勃勃(春意盎然、万物复苏、乍暖还寒)</w:t>
      </w:r>
    </w:p>
    <w:p>
      <w:pPr>
        <w:widowControl/>
        <w:spacing w:line="320" w:lineRule="exact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(1分)</w:t>
      </w:r>
    </w:p>
    <w:p>
      <w:pPr>
        <w:widowControl/>
        <w:spacing w:line="320" w:lineRule="exact"/>
        <w:ind w:firstLine="422" w:firstLineChars="200"/>
        <w:jc w:val="left"/>
        <w:rPr>
          <w:rFonts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 w:val="21"/>
          <w:szCs w:val="21"/>
          <w14:textFill>
            <w14:solidFill>
              <w14:schemeClr w14:val="tx1"/>
            </w14:solidFill>
          </w14:textFill>
        </w:rPr>
        <w:t>23.答案要点:甲文(1)表达了作者闲适恬静、远离世俗的雅趣。(2)含蓄表达了作者对故国的怀念。(3)表达了作者幽深的眷恋和感伤的情怀。(4)寄托了作者对人生渺茫的深沉慨叹。(答对其中1点即可给2分)乙文(1)表达了作者热爱自然，寄情于山水的情怀。(2)表现作者淡泊名利，注重亲近大自然的愉悦心情。(3)表现了作者对都市官场生活的厌倦之情。(4)表现了作者不因官小职闲而懊丧，反而庆幸自己有游乐时间的达观个性。(答对其中1点即可给2分)</w:t>
      </w:r>
    </w:p>
    <w:p>
      <w:pPr>
        <w:ind w:firstLine="422" w:firstLineChars="200"/>
        <w:rPr>
          <w:b/>
          <w:bCs/>
          <w:color w:val="000000" w:themeColor="text1"/>
          <w:sz w:val="21"/>
          <w:szCs w:val="21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（四）（6分）</w:t>
      </w: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．（</w:t>
      </w: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“弄”是玩弄、欣赏的意思，表明舞姿的不断变化，使人想到舞姿的美妙</w:t>
      </w:r>
      <w:r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。“清影”意思是清冷的影子，营造孤独、寂寞、凄清的氛围</w:t>
      </w:r>
      <w:r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，表现了词人的孤独、苦闷</w:t>
      </w:r>
      <w:r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ind w:firstLine="422" w:firstLineChars="200"/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．（</w:t>
      </w:r>
      <w:r>
        <w:rPr>
          <w:rFonts w:hint="eastAsia"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ascii="宋体" w:hAnsi="宋体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b/>
          <w:bCs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（1）苏轼将人世的聚合离散看作如明月的阴晴圆缺，非人力所能左右。（2）词句蕴含着诗人对人生哲理的认识（揭示了人间的普遍规律：世界上不可能有永远圆满的事情）。（3）表现词人乐观旷达的胸襟和对生活的热爱。（这句话也带给我们有益的启示：人生不会完美，要有乐观豁达的胸襟面对生活，面对挫折）（答对1点得1分，意近即可得分）</w:t>
      </w:r>
    </w:p>
    <w:p>
      <w:pPr>
        <w:widowControl/>
        <w:shd w:val="clear" w:color="auto" w:fill="FFFFFF"/>
        <w:spacing w:line="320" w:lineRule="exact"/>
        <w:jc w:val="left"/>
        <w:rPr>
          <w:rFonts w:ascii="黑体" w:hAnsi="黑体" w:eastAsia="黑体"/>
          <w:b/>
          <w:bCs/>
          <w:sz w:val="21"/>
          <w:szCs w:val="21"/>
        </w:rPr>
      </w:pPr>
      <w:r>
        <w:rPr>
          <w:rFonts w:hint="eastAsia" w:ascii="黑体" w:hAnsi="黑体" w:eastAsia="黑体"/>
          <w:b/>
          <w:bCs/>
          <w:sz w:val="21"/>
          <w:szCs w:val="21"/>
        </w:rPr>
        <w:t>四（60分）</w:t>
      </w:r>
    </w:p>
    <w:p>
      <w:pPr>
        <w:spacing w:line="320" w:lineRule="exact"/>
        <w:ind w:firstLine="422" w:firstLineChars="200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Cs w:val="21"/>
          <w:shd w:val="clear" w:color="auto" w:fill="FFFFFF"/>
        </w:rPr>
        <w:t>26.</w:t>
      </w:r>
      <w:r>
        <w:rPr>
          <w:rFonts w:hint="eastAsia" w:ascii="宋体" w:hAnsi="宋体" w:eastAsia="宋体" w:cs="宋体"/>
          <w:b/>
          <w:bCs/>
        </w:rPr>
        <w:t xml:space="preserve"> </w:t>
      </w:r>
      <w:r>
        <w:rPr>
          <w:rFonts w:hint="eastAsia" w:ascii="宋体" w:hAnsi="宋体" w:eastAsia="宋体" w:cs="宋体"/>
          <w:b/>
          <w:bCs/>
          <w:szCs w:val="21"/>
        </w:rPr>
        <w:t>作文评分标准</w:t>
      </w:r>
    </w:p>
    <w:tbl>
      <w:tblPr>
        <w:tblStyle w:val="5"/>
        <w:tblW w:w="8534" w:type="dxa"/>
        <w:jc w:val="center"/>
        <w:tblInd w:w="0" w:type="dxa"/>
        <w:tblBorders>
          <w:top w:val="none" w:color="auto" w:sz="6" w:space="0"/>
          <w:left w:val="none" w:color="auto" w:sz="6" w:space="0"/>
          <w:bottom w:val="none" w:color="auto" w:sz="6" w:space="0"/>
          <w:right w:val="none" w:color="auto" w:sz="6" w:space="0"/>
          <w:insideH w:val="outset" w:color="auto" w:sz="6" w:space="0"/>
          <w:insideV w:val="outset" w:color="auto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06"/>
        <w:gridCol w:w="1706"/>
        <w:gridCol w:w="1706"/>
        <w:gridCol w:w="1707"/>
        <w:gridCol w:w="1709"/>
      </w:tblGrid>
      <w:tr>
        <w:tblPrEx>
          <w:tblBorders>
            <w:top w:val="none" w:color="auto" w:sz="6" w:space="0"/>
            <w:left w:val="none" w:color="auto" w:sz="6" w:space="0"/>
            <w:bottom w:val="none" w:color="auto" w:sz="6" w:space="0"/>
            <w:right w:val="none" w:color="auto" w:sz="6" w:space="0"/>
            <w:insideH w:val="outset" w:color="auto" w:sz="6" w:space="0"/>
            <w:insideV w:val="outset" w:color="auto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8" w:hRule="atLeast"/>
          <w:jc w:val="center"/>
        </w:trPr>
        <w:tc>
          <w:tcPr>
            <w:tcW w:w="1706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一等</w:t>
            </w:r>
          </w:p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（60-54）</w:t>
            </w:r>
          </w:p>
        </w:tc>
        <w:tc>
          <w:tcPr>
            <w:tcW w:w="1706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二等</w:t>
            </w:r>
          </w:p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（53-48）</w:t>
            </w:r>
          </w:p>
        </w:tc>
        <w:tc>
          <w:tcPr>
            <w:tcW w:w="1706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三等</w:t>
            </w:r>
          </w:p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（47-42）</w:t>
            </w:r>
          </w:p>
        </w:tc>
        <w:tc>
          <w:tcPr>
            <w:tcW w:w="1707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四等</w:t>
            </w:r>
          </w:p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（41-36）</w:t>
            </w:r>
          </w:p>
        </w:tc>
        <w:tc>
          <w:tcPr>
            <w:tcW w:w="1709" w:type="dxa"/>
            <w:tcBorders>
              <w:top w:val="single" w:color="auto" w:sz="8" w:space="0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五等</w:t>
            </w:r>
          </w:p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（35-0）</w:t>
            </w:r>
          </w:p>
        </w:tc>
      </w:tr>
      <w:tr>
        <w:tblPrEx>
          <w:tblBorders>
            <w:top w:val="none" w:color="auto" w:sz="6" w:space="0"/>
            <w:left w:val="none" w:color="auto" w:sz="6" w:space="0"/>
            <w:bottom w:val="none" w:color="auto" w:sz="6" w:space="0"/>
            <w:right w:val="none" w:color="auto" w:sz="6" w:space="0"/>
            <w:insideH w:val="outset" w:color="auto" w:sz="6" w:space="0"/>
            <w:insideV w:val="outset" w:color="auto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8" w:hRule="atLeast"/>
          <w:jc w:val="center"/>
        </w:trPr>
        <w:tc>
          <w:tcPr>
            <w:tcW w:w="170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切合题意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符合题意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基本符合题意</w:t>
            </w:r>
          </w:p>
        </w:tc>
        <w:tc>
          <w:tcPr>
            <w:tcW w:w="170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偏离题意</w:t>
            </w:r>
          </w:p>
        </w:tc>
        <w:tc>
          <w:tcPr>
            <w:tcW w:w="170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不合题意</w:t>
            </w:r>
          </w:p>
        </w:tc>
      </w:tr>
      <w:tr>
        <w:tblPrEx>
          <w:tblBorders>
            <w:top w:val="none" w:color="auto" w:sz="6" w:space="0"/>
            <w:left w:val="none" w:color="auto" w:sz="6" w:space="0"/>
            <w:bottom w:val="none" w:color="auto" w:sz="6" w:space="0"/>
            <w:right w:val="none" w:color="auto" w:sz="6" w:space="0"/>
            <w:insideH w:val="outset" w:color="auto" w:sz="6" w:space="0"/>
            <w:insideV w:val="outset" w:color="auto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8" w:hRule="atLeast"/>
          <w:jc w:val="center"/>
        </w:trPr>
        <w:tc>
          <w:tcPr>
            <w:tcW w:w="170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中心突出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中心明确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中心基本明确</w:t>
            </w:r>
          </w:p>
        </w:tc>
        <w:tc>
          <w:tcPr>
            <w:tcW w:w="170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中心不够清楚</w:t>
            </w:r>
          </w:p>
        </w:tc>
        <w:tc>
          <w:tcPr>
            <w:tcW w:w="170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中心不清楚</w:t>
            </w:r>
          </w:p>
        </w:tc>
      </w:tr>
      <w:tr>
        <w:tblPrEx>
          <w:tblBorders>
            <w:top w:val="none" w:color="auto" w:sz="6" w:space="0"/>
            <w:left w:val="none" w:color="auto" w:sz="6" w:space="0"/>
            <w:bottom w:val="none" w:color="auto" w:sz="6" w:space="0"/>
            <w:right w:val="none" w:color="auto" w:sz="6" w:space="0"/>
            <w:insideH w:val="outset" w:color="auto" w:sz="6" w:space="0"/>
            <w:insideV w:val="outset" w:color="auto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8" w:hRule="atLeast"/>
          <w:jc w:val="center"/>
        </w:trPr>
        <w:tc>
          <w:tcPr>
            <w:tcW w:w="170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内容具体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内容较具体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内容不够具体</w:t>
            </w:r>
          </w:p>
        </w:tc>
        <w:tc>
          <w:tcPr>
            <w:tcW w:w="170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内容平淡</w:t>
            </w:r>
          </w:p>
        </w:tc>
        <w:tc>
          <w:tcPr>
            <w:tcW w:w="170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内容空泛</w:t>
            </w:r>
          </w:p>
        </w:tc>
      </w:tr>
      <w:tr>
        <w:tblPrEx>
          <w:tblBorders>
            <w:top w:val="none" w:color="auto" w:sz="6" w:space="0"/>
            <w:left w:val="none" w:color="auto" w:sz="6" w:space="0"/>
            <w:bottom w:val="none" w:color="auto" w:sz="6" w:space="0"/>
            <w:right w:val="none" w:color="auto" w:sz="6" w:space="0"/>
            <w:insideH w:val="outset" w:color="auto" w:sz="6" w:space="0"/>
            <w:insideV w:val="outset" w:color="auto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8" w:hRule="atLeast"/>
          <w:jc w:val="center"/>
        </w:trPr>
        <w:tc>
          <w:tcPr>
            <w:tcW w:w="170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感情真挚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有真情实感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较有感情</w:t>
            </w:r>
          </w:p>
        </w:tc>
        <w:tc>
          <w:tcPr>
            <w:tcW w:w="170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感情不够真实</w:t>
            </w:r>
          </w:p>
        </w:tc>
        <w:tc>
          <w:tcPr>
            <w:tcW w:w="170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感情虚假</w:t>
            </w:r>
          </w:p>
        </w:tc>
      </w:tr>
      <w:tr>
        <w:tblPrEx>
          <w:tblBorders>
            <w:top w:val="none" w:color="auto" w:sz="6" w:space="0"/>
            <w:left w:val="none" w:color="auto" w:sz="6" w:space="0"/>
            <w:bottom w:val="none" w:color="auto" w:sz="6" w:space="0"/>
            <w:right w:val="none" w:color="auto" w:sz="6" w:space="0"/>
            <w:insideH w:val="outset" w:color="auto" w:sz="6" w:space="0"/>
            <w:insideV w:val="outset" w:color="auto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1" w:hRule="atLeast"/>
          <w:jc w:val="center"/>
        </w:trPr>
        <w:tc>
          <w:tcPr>
            <w:tcW w:w="170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结构紧凑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结构完整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结构基本完整</w:t>
            </w:r>
          </w:p>
        </w:tc>
        <w:tc>
          <w:tcPr>
            <w:tcW w:w="170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结构不够完整</w:t>
            </w:r>
          </w:p>
        </w:tc>
        <w:tc>
          <w:tcPr>
            <w:tcW w:w="170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结构不完整</w:t>
            </w:r>
          </w:p>
        </w:tc>
      </w:tr>
      <w:tr>
        <w:tblPrEx>
          <w:tblBorders>
            <w:top w:val="none" w:color="auto" w:sz="6" w:space="0"/>
            <w:left w:val="none" w:color="auto" w:sz="6" w:space="0"/>
            <w:bottom w:val="none" w:color="auto" w:sz="6" w:space="0"/>
            <w:right w:val="none" w:color="auto" w:sz="6" w:space="0"/>
            <w:insideH w:val="outset" w:color="auto" w:sz="6" w:space="0"/>
            <w:insideV w:val="outset" w:color="auto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8" w:hRule="atLeast"/>
          <w:jc w:val="center"/>
        </w:trPr>
        <w:tc>
          <w:tcPr>
            <w:tcW w:w="170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语言流畅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语言通顺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语言基本通顺</w:t>
            </w:r>
          </w:p>
        </w:tc>
        <w:tc>
          <w:tcPr>
            <w:tcW w:w="170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语病较多</w:t>
            </w:r>
          </w:p>
        </w:tc>
        <w:tc>
          <w:tcPr>
            <w:tcW w:w="170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语病多</w:t>
            </w:r>
          </w:p>
        </w:tc>
      </w:tr>
      <w:tr>
        <w:tblPrEx>
          <w:tblBorders>
            <w:top w:val="none" w:color="auto" w:sz="6" w:space="0"/>
            <w:left w:val="none" w:color="auto" w:sz="6" w:space="0"/>
            <w:bottom w:val="none" w:color="auto" w:sz="6" w:space="0"/>
            <w:right w:val="none" w:color="auto" w:sz="6" w:space="0"/>
            <w:insideH w:val="outset" w:color="auto" w:sz="6" w:space="0"/>
            <w:insideV w:val="outset" w:color="auto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8" w:hRule="atLeast"/>
          <w:jc w:val="center"/>
        </w:trPr>
        <w:tc>
          <w:tcPr>
            <w:tcW w:w="170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字迹工整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字迹清楚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字迹不够清楚</w:t>
            </w:r>
          </w:p>
        </w:tc>
        <w:tc>
          <w:tcPr>
            <w:tcW w:w="170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字迹潦草</w:t>
            </w:r>
          </w:p>
        </w:tc>
        <w:tc>
          <w:tcPr>
            <w:tcW w:w="170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字迹难以辨认</w:t>
            </w:r>
          </w:p>
        </w:tc>
      </w:tr>
      <w:tr>
        <w:tblPrEx>
          <w:tblBorders>
            <w:top w:val="none" w:color="auto" w:sz="6" w:space="0"/>
            <w:left w:val="none" w:color="auto" w:sz="6" w:space="0"/>
            <w:bottom w:val="none" w:color="auto" w:sz="6" w:space="0"/>
            <w:right w:val="none" w:color="auto" w:sz="6" w:space="0"/>
            <w:insideH w:val="outset" w:color="auto" w:sz="6" w:space="0"/>
            <w:insideV w:val="outset" w:color="auto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8" w:hRule="atLeast"/>
          <w:jc w:val="center"/>
        </w:trPr>
        <w:tc>
          <w:tcPr>
            <w:tcW w:w="1706" w:type="dxa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符合文体要求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较符合要求</w:t>
            </w:r>
          </w:p>
        </w:tc>
        <w:tc>
          <w:tcPr>
            <w:tcW w:w="170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基本符合要求</w:t>
            </w:r>
          </w:p>
        </w:tc>
        <w:tc>
          <w:tcPr>
            <w:tcW w:w="1707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不符合要求</w:t>
            </w:r>
          </w:p>
        </w:tc>
        <w:tc>
          <w:tcPr>
            <w:tcW w:w="1709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不符合要求</w:t>
            </w:r>
          </w:p>
        </w:tc>
      </w:tr>
      <w:tr>
        <w:tblPrEx>
          <w:tblBorders>
            <w:top w:val="none" w:color="auto" w:sz="6" w:space="0"/>
            <w:left w:val="none" w:color="auto" w:sz="6" w:space="0"/>
            <w:bottom w:val="none" w:color="auto" w:sz="6" w:space="0"/>
            <w:right w:val="none" w:color="auto" w:sz="6" w:space="0"/>
            <w:insideH w:val="outset" w:color="auto" w:sz="6" w:space="0"/>
            <w:insideV w:val="outset" w:color="auto" w:sz="6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85" w:hRule="atLeast"/>
          <w:jc w:val="center"/>
        </w:trPr>
        <w:tc>
          <w:tcPr>
            <w:tcW w:w="8534" w:type="dxa"/>
            <w:gridSpan w:val="5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auto" w:fill="auto"/>
            <w:tcMar>
              <w:left w:w="108" w:type="dxa"/>
              <w:right w:w="108" w:type="dxa"/>
            </w:tcMar>
          </w:tcPr>
          <w:p>
            <w:pPr>
              <w:pStyle w:val="3"/>
              <w:spacing w:before="0" w:beforeAutospacing="0" w:after="75" w:afterAutospacing="0" w:line="320" w:lineRule="exact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1．主题深刻，有独到见解，选材新颖，有文采，表达独特等可酌情加分至满分（60分）。</w:t>
            </w:r>
          </w:p>
          <w:p>
            <w:pPr>
              <w:pStyle w:val="3"/>
              <w:spacing w:before="0" w:beforeAutospacing="0" w:after="75" w:afterAutospacing="0" w:line="320" w:lineRule="exact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2．缺作文题目扣2分；错别字、标点使用错误每2处扣1分，重复不计；不足600字，每少50字扣3分；确认抄袭的在五等评分。</w:t>
            </w:r>
          </w:p>
          <w:p>
            <w:pPr>
              <w:pStyle w:val="3"/>
              <w:spacing w:before="0" w:beforeAutospacing="0" w:after="75" w:afterAutospacing="0" w:line="320" w:lineRule="exact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3.书写5分，书写好的文章，按书写水平加1—5分（含在作文总分内）</w:t>
            </w:r>
          </w:p>
        </w:tc>
      </w:tr>
    </w:tbl>
    <w:p>
      <w:pPr>
        <w:spacing w:line="360" w:lineRule="exact"/>
        <w:rPr>
          <w:rFonts w:ascii="Arial" w:hAnsi="Arial" w:cs="Arial"/>
          <w:b/>
          <w:bCs/>
          <w:szCs w:val="21"/>
          <w:shd w:val="clear" w:color="auto" w:fill="FFFFFF"/>
        </w:rPr>
      </w:pPr>
    </w:p>
    <w:p>
      <w:pPr>
        <w:jc w:val="center"/>
        <w:rPr>
          <w:rFonts w:hint="eastAsia" w:eastAsiaTheme="minorEastAsia"/>
          <w:lang w:eastAsia="zh-CN"/>
        </w:rPr>
      </w:pPr>
    </w:p>
    <w:sectPr>
      <w:pgSz w:w="11850" w:h="16783"/>
      <w:pgMar w:top="1440" w:right="1800" w:bottom="1440" w:left="180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654F0014"/>
    <w:rsid w:val="06703814"/>
    <w:rsid w:val="3D041C97"/>
    <w:rsid w:val="46CB1DAD"/>
    <w:rsid w:val="5A6F27F6"/>
    <w:rsid w:val="654F0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2020-12-29T08:53:00Z</dcterms:created>
  <dc:creator>喵喵喵丶</dc:creator>
  <cp:lastModifiedBy>Administrator</cp:lastModifiedBy>
  <dcterms:modified xsi:type="dcterms:W3CDTF">2021-01-25T13:54:36Z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