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ascii="宋体" w:eastAsia="宋体" w:hAnsi="宋体" w:cs="宋体" w:hint="eastAsia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2020~2021学年度第一学期期末考试</w:t>
      </w:r>
    </w:p>
    <w:p>
      <w:pPr>
        <w:jc w:val="center"/>
        <w:rPr>
          <w:rFonts w:ascii="宋体" w:eastAsia="宋体" w:hAnsi="宋体" w:cs="宋体" w:hint="eastAsia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九年级语文参考答案</w:t>
      </w:r>
    </w:p>
    <w:p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一、(共27分)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1.(1)jié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jué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黠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涉。 (共4分)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(2)读书的态度与方法。(共2分)</w:t>
      </w:r>
    </w:p>
    <w:p>
      <w:pPr>
        <w:ind w:left="240" w:hanging="240" w:hanging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(3)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示例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天生才干犹如未琢之璞,读书然后成稀世之珍。(与例句句式相似、修辞手法相同即可,2分)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2.B(2分)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3.A(2分)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4.B(2分)</w:t>
      </w:r>
    </w:p>
    <w:p>
      <w:pPr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5.(1)豪兴徜徉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</w:p>
    <w:p>
      <w:pPr>
        <w:ind w:firstLine="240" w:firstLineChars="10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(2)我是你雪被下古莲的胚芽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</w:p>
    <w:p>
      <w:pPr>
        <w:ind w:firstLine="240" w:firstLineChars="10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(3)斫去桂婆娑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</w:p>
    <w:p>
      <w:pPr>
        <w:ind w:firstLine="240" w:firstLine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(4)二者不可得兼,舍生而取义者也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八年风味徒思浙。(共6分)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6.(1)示例一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在渭州,鲁智深三拳打死镇关西。</w:t>
      </w:r>
    </w:p>
    <w:p>
      <w:pPr>
        <w:ind w:firstLine="720" w:firstLineChars="3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示例二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 xml:space="preserve">鲁智深大闹五台山。 </w:t>
      </w:r>
    </w:p>
    <w:p>
      <w:pPr>
        <w:ind w:firstLine="720" w:firstLineChars="3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示例三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鲁智深单打二龙山。</w:t>
      </w:r>
    </w:p>
    <w:p>
      <w:pPr>
        <w:ind w:firstLine="720" w:firstLineChars="3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示例四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鲁智深坐化六和寺。 (2 分)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(2)示例一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“鲁智深和李逵”。</w:t>
      </w:r>
    </w:p>
    <w:p>
      <w:pPr>
        <w:ind w:firstLine="240" w:firstLine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相同点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嫉恶 如仇，侠肝义胆，脾气火爆(1分)。</w:t>
      </w:r>
    </w:p>
    <w:p>
      <w:pPr>
        <w:ind w:firstLine="240" w:firstLine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不同点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鲁智深粗中有细，豁达明理(1分)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</w:rPr>
        <w:t>李逵头脑简单,直爽率真(1 分)。</w:t>
      </w:r>
    </w:p>
    <w:p>
      <w:pPr>
        <w:ind w:firstLine="240" w:firstLine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(共3分)</w:t>
      </w:r>
    </w:p>
    <w:p>
      <w:pPr>
        <w:ind w:firstLine="240" w:firstLine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示例二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“林冲和武松”。</w:t>
      </w:r>
    </w:p>
    <w:p>
      <w:pPr>
        <w:ind w:firstLine="240" w:firstLine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相同点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刚烈正直，有勇有谋(1分)。</w:t>
      </w:r>
    </w:p>
    <w:p>
      <w:pPr>
        <w:ind w:left="239" w:firstLine="0" w:leftChars="114" w:firstLineChars="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不同点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林冲安分守己,循规蹈矩(1分)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</w:rPr>
        <w:t>武松崇尚的是义,有仇必复,有恩必报,是英雄好汉中最富有血性的(1分)。(共3分)</w:t>
      </w:r>
    </w:p>
    <w:p>
      <w:pPr>
        <w:ind w:left="240" w:hanging="240" w:hanging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(3)我们应该用一分为二的观点来看待这类行为。既看到这类英雄疾恶如仇.侠肝义胆的“义”的一面,值得弘扬(1分)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</w:rPr>
        <w:t>同时也要看到他们冲动、鲁莽造成不良后果的一面,是不足取的(1分)。(言之有理即可,共2分)</w:t>
      </w:r>
    </w:p>
    <w:p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、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(共43分)</w:t>
      </w:r>
    </w:p>
    <w:p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(一)(4分)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7.示例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64580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太守率领众多随从纵马飞奔，像狂风一样越过小山冈。(2 分)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8.D(2分)</w:t>
      </w:r>
    </w:p>
    <w:p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(二)(14分)</w:t>
      </w:r>
    </w:p>
    <w:p>
      <w:pPr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9.(1)只,仅仅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(2)出使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</w:rPr>
        <w:t xml:space="preserve"> (3)告诉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</w:rPr>
        <w:t xml:space="preserve"> (4)固执。 (共4分)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10.A(2分)</w:t>
      </w:r>
    </w:p>
    <w:p>
      <w:pPr>
        <w:ind w:left="240" w:hanging="240" w:hanging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11.(1)而安陵国却凭借方圆五十里的土地幸存下来,是因为我把安陵君看作忠厚长者，所以不打他的主意。(2)不久 ,最终让昌蒙正推荐的人出使辽国,果然出色地完成了使命。(共4分)</w:t>
      </w:r>
    </w:p>
    <w:p>
      <w:pPr>
        <w:ind w:left="240" w:hanging="240" w:hanging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12.(1)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乎</w:t>
      </w:r>
      <w:r>
        <w:rPr>
          <w:rFonts w:ascii="宋体" w:eastAsia="宋体" w:hAnsi="宋体" w:cs="宋体" w:hint="eastAsia"/>
          <w:sz w:val="24"/>
          <w:szCs w:val="24"/>
        </w:rPr>
        <w:t>,表责问语气(1分)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</w:rPr>
        <w:t>唐雎大义凛然,不惧强暴 ,据理力争,质问秦王(1分)。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(2)尔,表示非常肯定的语气(1分)，吕蒙正面对君王据理力争,果敢坚定(1分)。</w:t>
      </w:r>
    </w:p>
    <w:p>
      <w:pPr>
        <w:ind w:firstLine="240" w:firstLine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(共4分)</w:t>
      </w:r>
    </w:p>
    <w:p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(三)(12分)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13.甲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范进中举喜极而疯。</w:t>
      </w:r>
    </w:p>
    <w:p>
      <w:pPr>
        <w:ind w:firstLine="480" w:firstLineChars="2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乙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警官奥楚蔑洛夫处理“狗咬人”事件,不断改变裁断。(共2分)</w:t>
      </w:r>
    </w:p>
    <w:p>
      <w:pPr>
        <w:ind w:left="240" w:hanging="240" w:hanging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14.示例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席加洛夫将军家的,怎么会是这样?这下可完了,全完了,我的升官梦岂不化为泡影?这怎么得罪得起?不行,我得赶紧想办法,求得他老人家的原谅，我不能就这么毁了自己。(能表现出人物此时的惊慌失措,言之成理即可,3分)</w:t>
      </w:r>
    </w:p>
    <w:p>
      <w:pPr>
        <w:ind w:left="240" w:hanging="240" w:hanging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15.悬念迭起,情节跌宕起伏,引人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入</w:t>
      </w:r>
      <w:r>
        <w:rPr>
          <w:rFonts w:ascii="宋体" w:eastAsia="宋体" w:hAnsi="宋体" w:cs="宋体" w:hint="eastAsia"/>
          <w:sz w:val="24"/>
          <w:szCs w:val="24"/>
        </w:rPr>
        <w:t>胜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</w:rPr>
        <w:t>突出表现奥楚蔑洛夫谄上欺下、见风使舵、趋炎附势的性格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</w:rPr>
        <w:t>揭露了沙皇统治的黑暗与腐朽，增强了小说的讽刺效果。(答出任意三个要点即可,共3分)</w:t>
      </w:r>
    </w:p>
    <w:p>
      <w:pPr>
        <w:ind w:left="240" w:hanging="240" w:hanging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16.甲文示例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(1)夸张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生动形象地刻画了范进中举喜极而疯的丑态(1分),具有强烈的讽刺意味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深刻揭露了封建科举制度对读书人的毒害(1分)。(2)对比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通过众邻居对范进中举前后不同态度的对比(1分),讽刺他们嫌贫爱富、趋炎附势的性格(1分)。(共4分)</w:t>
      </w:r>
    </w:p>
    <w:p>
      <w:pPr>
        <w:ind w:left="239" w:firstLine="0" w:leftChars="114" w:firstLineChars="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乙文示例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(1)夸张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随着狗主人身份的不断变化，奥楚蔑洛夫的态度变化之快,跨度之大,令人瞠目(1分),讽刺其谄上欺下、见风使舵、趋炎附势的性格(1分)。(2)对比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奥楚蔑洛夫面对狗主人身份的变化,不停地改变着自己的态度时而威风凛凛，时而奴颜婢膝(1分),对比鲜明，自己打自已的嘴巴,使小说的喜剧效果更如突出(1分)。(共4分)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17.只要你自己足够优秀,艰难险阻也一定会为你的成功助力。(2分)</w:t>
      </w:r>
    </w:p>
    <w:p>
      <w:pPr>
        <w:ind w:left="240" w:hanging="240" w:hanging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18.开头引用名言、俗语,写出“木秀于林”容易被困难所摧毁,与下文写真英雄不怕风吹雨打形成对比(1分),从而引出中心论点(1分),增加文采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吸引读者阅读兴趣(1分)。(共3分)</w:t>
      </w:r>
    </w:p>
    <w:p>
      <w:pPr>
        <w:ind w:left="240" w:hanging="240" w:hanging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19.示例一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前进只有一个理由,退缩却有千万个理由,当一个人勇往直前的时候，一点点流言蜚语又算得了什么?</w:t>
      </w:r>
    </w:p>
    <w:p>
      <w:pPr>
        <w:ind w:firstLine="240" w:firstLine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示例二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而生活中还有一些人，他们不怕艰难险阻，迎难而上。</w:t>
      </w:r>
    </w:p>
    <w:p>
      <w:pPr>
        <w:ind w:left="239" w:firstLine="0" w:leftChars="114" w:firstLineChars="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示例三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还有另外一些人,不怕诋毁诽谤，愈挫愈勇。(能起到过渡性作用1分,写出不怕诋毁.不怕困难、勇往直前之意1分,共2分)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20.B(2分)</w:t>
      </w:r>
    </w:p>
    <w:p>
      <w:pPr>
        <w:ind w:left="240" w:hanging="240" w:hangingChars="10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21.比喻论证(1分)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</w:rPr>
        <w:t>将困难比喻成铺路石、试金石和磨刀石,论述了困难所起的作用(1分),生动形象地论证了“笑对困难,砥砺前行,才能获得更大的成功”的观点(1分),进而证明中心论点(1分)。(共4分)</w:t>
      </w:r>
    </w:p>
    <w:p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三、(共50分)</w:t>
      </w:r>
    </w:p>
    <w:p>
      <w:pPr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22.作文分项打分表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983"/>
        <w:gridCol w:w="1425"/>
        <w:gridCol w:w="1704"/>
        <w:gridCol w:w="1705"/>
        <w:gridCol w:w="1705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983" w:type="dxa"/>
          </w:tcPr>
          <w:p>
            <w:pPr>
              <w:rPr>
                <w:rFonts w:ascii="宋体" w:eastAsia="宋体" w:hAnsi="宋体" w:cs="宋体" w:hint="eastAsia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项目</w:t>
            </w:r>
          </w:p>
        </w:tc>
        <w:tc>
          <w:tcPr>
            <w:tcW w:w="1425" w:type="dxa"/>
          </w:tcPr>
          <w:p>
            <w:pPr>
              <w:rPr>
                <w:rFonts w:ascii="宋体" w:eastAsia="宋体" w:hAnsi="宋体" w:cs="宋体" w:hint="eastAsia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一等</w:t>
            </w:r>
          </w:p>
        </w:tc>
        <w:tc>
          <w:tcPr>
            <w:tcW w:w="1704" w:type="dxa"/>
          </w:tcPr>
          <w:p>
            <w:pPr>
              <w:rPr>
                <w:rFonts w:ascii="宋体" w:eastAsia="宋体" w:hAnsi="宋体" w:cs="宋体" w:hint="eastAsia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二等</w:t>
            </w:r>
          </w:p>
        </w:tc>
        <w:tc>
          <w:tcPr>
            <w:tcW w:w="1705" w:type="dxa"/>
          </w:tcPr>
          <w:p>
            <w:pPr>
              <w:rPr>
                <w:rFonts w:ascii="宋体" w:eastAsia="宋体" w:hAnsi="宋体" w:cs="宋体" w:hint="eastAsia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三等</w:t>
            </w:r>
          </w:p>
        </w:tc>
        <w:tc>
          <w:tcPr>
            <w:tcW w:w="1705" w:type="dxa"/>
          </w:tcPr>
          <w:p>
            <w:pPr>
              <w:rPr>
                <w:rFonts w:ascii="宋体" w:eastAsia="宋体" w:hAnsi="宋体" w:cs="宋体" w:hint="eastAsia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四等</w:t>
            </w:r>
          </w:p>
        </w:tc>
      </w:tr>
      <w:tr>
        <w:tblPrEx>
          <w:tblW w:w="0" w:type="auto"/>
          <w:tblInd w:w="0" w:type="dxa"/>
          <w:tblCellMar>
            <w:left w:w="108" w:type="dxa"/>
            <w:right w:w="108" w:type="dxa"/>
          </w:tblCellMar>
        </w:tblPrEx>
        <w:tc>
          <w:tcPr>
            <w:tcW w:w="1983" w:type="dxa"/>
          </w:tcPr>
          <w:p>
            <w:pPr>
              <w:rPr>
                <w:rFonts w:ascii="宋体" w:eastAsia="宋体" w:hAnsi="宋体" w:cs="宋体" w:hint="eastAsia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内容、表达45分</w:t>
            </w:r>
          </w:p>
        </w:tc>
        <w:tc>
          <w:tcPr>
            <w:tcW w:w="1425" w:type="dxa"/>
          </w:tcPr>
          <w:p>
            <w:pPr>
              <w:rPr>
                <w:rFonts w:ascii="宋体" w:eastAsia="宋体" w:hAnsi="宋体" w:cs="宋体" w:hint="eastAsia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45~40分</w:t>
            </w:r>
          </w:p>
        </w:tc>
        <w:tc>
          <w:tcPr>
            <w:tcW w:w="1704" w:type="dxa"/>
          </w:tcPr>
          <w:p>
            <w:pPr>
              <w:rPr>
                <w:rFonts w:ascii="宋体" w:eastAsia="宋体" w:hAnsi="宋体" w:cs="宋体" w:hint="eastAsia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39~34分</w:t>
            </w:r>
          </w:p>
        </w:tc>
        <w:tc>
          <w:tcPr>
            <w:tcW w:w="1705" w:type="dxa"/>
          </w:tcPr>
          <w:p>
            <w:pPr>
              <w:rPr>
                <w:rFonts w:ascii="宋体" w:eastAsia="宋体" w:hAnsi="宋体" w:cs="宋体" w:hint="eastAsia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33~28分</w:t>
            </w:r>
          </w:p>
        </w:tc>
        <w:tc>
          <w:tcPr>
            <w:tcW w:w="1705" w:type="dxa"/>
          </w:tcPr>
          <w:p>
            <w:pPr>
              <w:rPr>
                <w:rFonts w:ascii="宋体" w:eastAsia="宋体" w:hAnsi="宋体" w:cs="宋体" w:hint="eastAsia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28分以下</w:t>
            </w:r>
          </w:p>
        </w:tc>
      </w:tr>
      <w:tr>
        <w:tblPrEx>
          <w:tblW w:w="0" w:type="auto"/>
          <w:tblInd w:w="0" w:type="dxa"/>
          <w:tblCellMar>
            <w:left w:w="108" w:type="dxa"/>
            <w:right w:w="108" w:type="dxa"/>
          </w:tblCellMar>
        </w:tblPrEx>
        <w:tc>
          <w:tcPr>
            <w:tcW w:w="1983" w:type="dxa"/>
          </w:tcPr>
          <w:p>
            <w:pPr>
              <w:rPr>
                <w:rFonts w:ascii="宋体" w:eastAsia="宋体" w:hAnsi="宋体" w:cs="宋体" w:hint="eastAsia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卷面5分</w:t>
            </w:r>
          </w:p>
        </w:tc>
        <w:tc>
          <w:tcPr>
            <w:tcW w:w="6539" w:type="dxa"/>
            <w:gridSpan w:val="4"/>
          </w:tcPr>
          <w:p>
            <w:pPr>
              <w:rPr>
                <w:rFonts w:ascii="宋体" w:eastAsia="宋体" w:hAnsi="宋体" w:cs="宋体" w:hint="eastAsia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根据卷面,分5分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、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sz w:val="24"/>
                <w:szCs w:val="24"/>
              </w:rPr>
              <w:t>4分、3分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2分四等评分</w:t>
            </w:r>
          </w:p>
        </w:tc>
      </w:tr>
    </w:tbl>
    <w:p>
      <w:pPr>
        <w:rPr>
          <w:rFonts w:ascii="宋体" w:eastAsia="宋体" w:hAnsi="宋体" w:cs="宋体" w:hint="eastAsia"/>
          <w:sz w:val="24"/>
          <w:szCs w:val="24"/>
        </w:rPr>
      </w:pPr>
    </w:p>
    <w:p>
      <w:pPr>
        <w:rPr>
          <w:rFonts w:ascii="宋体" w:eastAsia="宋体" w:hAnsi="宋体" w:cs="宋体"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D376B1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如心自然</cp:lastModifiedBy>
  <cp:revision>0</cp:revision>
  <dcterms:created xsi:type="dcterms:W3CDTF">2021-01-28T01:36:44Z</dcterms:created>
  <dcterms:modified xsi:type="dcterms:W3CDTF">2021-01-28T01:45:38Z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