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/>
          <w:b/>
          <w:color w:val="000000"/>
          <w:sz w:val="32"/>
          <w:szCs w:val="32"/>
        </w:rPr>
      </w:pPr>
      <w:r>
        <w:rPr>
          <w:rFonts w:ascii="宋体"/>
          <w:b/>
          <w:color w:val="000000"/>
          <w:sz w:val="32"/>
          <w:szCs w:val="32"/>
        </w:rPr>
        <w:t>20</w:t>
      </w:r>
      <w:r>
        <w:rPr>
          <w:rFonts w:ascii="宋体" w:hint="eastAsia"/>
          <w:b/>
          <w:color w:val="000000"/>
          <w:sz w:val="32"/>
          <w:szCs w:val="32"/>
        </w:rPr>
        <w:t>2</w:t>
      </w:r>
      <w:r>
        <w:rPr>
          <w:rFonts w:ascii="宋体" w:hint="eastAsia"/>
          <w:b/>
          <w:color w:val="000000"/>
          <w:sz w:val="32"/>
          <w:szCs w:val="32"/>
          <w:lang w:val="en-US" w:eastAsia="zh-CN"/>
        </w:rPr>
        <w:t>1</w:t>
      </w:r>
      <w:r>
        <w:rPr>
          <w:rFonts w:ascii="宋体" w:hint="eastAsia"/>
          <w:b/>
          <w:color w:val="000000"/>
          <w:sz w:val="32"/>
          <w:szCs w:val="32"/>
        </w:rPr>
        <w:t>年春季</w:t>
      </w:r>
      <w:r>
        <w:rPr>
          <w:rFonts w:ascii="宋体"/>
          <w:b/>
          <w:color w:val="000000"/>
          <w:sz w:val="32"/>
          <w:szCs w:val="32"/>
        </w:rPr>
        <w:t>学期</w:t>
      </w:r>
      <w:r>
        <w:rPr>
          <w:rFonts w:ascii="宋体" w:hint="eastAsia"/>
          <w:b/>
          <w:color w:val="000000"/>
          <w:sz w:val="32"/>
          <w:szCs w:val="32"/>
          <w:lang w:eastAsia="zh-CN"/>
        </w:rPr>
        <w:t>七</w:t>
      </w:r>
      <w:r>
        <w:rPr>
          <w:rFonts w:ascii="宋体"/>
          <w:b/>
          <w:color w:val="000000"/>
          <w:sz w:val="32"/>
          <w:szCs w:val="32"/>
        </w:rPr>
        <w:t>年级</w:t>
      </w:r>
      <w:r>
        <w:rPr>
          <w:rFonts w:ascii="宋体" w:hint="eastAsia"/>
          <w:b/>
          <w:color w:val="000000"/>
          <w:sz w:val="32"/>
          <w:szCs w:val="32"/>
        </w:rPr>
        <w:t>期中</w:t>
      </w:r>
      <w:r>
        <w:rPr>
          <w:rFonts w:ascii="宋体"/>
          <w:b/>
          <w:color w:val="000000"/>
          <w:sz w:val="32"/>
          <w:szCs w:val="32"/>
        </w:rPr>
        <w:t>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/>
          <w:b/>
          <w:color w:val="000000"/>
          <w:sz w:val="32"/>
          <w:szCs w:val="32"/>
        </w:rPr>
      </w:pPr>
      <w:r>
        <w:rPr>
          <w:rFonts w:ascii="宋体" w:hint="eastAsia"/>
          <w:b/>
          <w:color w:val="000000"/>
          <w:sz w:val="32"/>
          <w:szCs w:val="32"/>
        </w:rPr>
        <w:t>语</w:t>
      </w:r>
      <w:r>
        <w:rPr>
          <w:rFonts w:ascii="宋体"/>
          <w:b/>
          <w:color w:val="000000"/>
          <w:sz w:val="32"/>
          <w:szCs w:val="32"/>
        </w:rPr>
        <w:t>文科参考答案及评分标准</w:t>
      </w:r>
    </w:p>
    <w:tbl>
      <w:tblPr>
        <w:tblStyle w:val="TableNormal"/>
        <w:tblW w:w="8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496"/>
        <w:gridCol w:w="496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>
        <w:tblPrEx>
          <w:tblW w:w="809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/>
          <w:jc w:val="center"/>
        </w:trPr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题号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 w:hint="eastAsia"/>
                <w:sz w:val="24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 w:hint="eastAsia"/>
                <w:sz w:val="24"/>
                <w:lang w:val="en-US" w:eastAsia="zh-CN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 w:hint="eastAsia"/>
                <w:sz w:val="24"/>
                <w:lang w:val="en-US" w:eastAsia="zh-CN"/>
              </w:rPr>
              <w:t>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 w:hint="eastAsia"/>
                <w:sz w:val="24"/>
                <w:lang w:val="en-US" w:eastAsia="zh-CN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21</w:t>
            </w:r>
          </w:p>
        </w:tc>
      </w:tr>
      <w:tr>
        <w:tblPrEx>
          <w:tblW w:w="8093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/>
          <w:jc w:val="center"/>
        </w:trPr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答案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B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B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D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A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C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D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Theme="minorEastAsia" w:hint="eastAsia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sz w:val="24"/>
                <w:lang w:val="en-US" w:eastAsia="zh-CN"/>
              </w:rPr>
              <w:t>B</w:t>
            </w:r>
          </w:p>
        </w:tc>
      </w:tr>
    </w:tbl>
    <w:p>
      <w:pPr>
        <w:spacing w:line="240" w:lineRule="auto"/>
        <w:rPr>
          <w:rFonts w:ascii="宋体" w:hint="eastAsia"/>
          <w:b/>
          <w:szCs w:val="21"/>
        </w:rPr>
      </w:pPr>
    </w:p>
    <w:p>
      <w:pPr>
        <w:spacing w:line="240" w:lineRule="auto"/>
        <w:rPr>
          <w:rFonts w:ascii="宋体" w:hint="eastAsia"/>
          <w:szCs w:val="21"/>
        </w:rPr>
      </w:pPr>
      <w:r>
        <w:rPr>
          <w:rFonts w:ascii="宋体" w:hint="eastAsia"/>
          <w:b/>
          <w:szCs w:val="21"/>
        </w:rPr>
        <w:t>一、积累与运用</w:t>
      </w:r>
      <w:r>
        <w:rPr>
          <w:rFonts w:ascii="宋体" w:hint="eastAsia"/>
          <w:szCs w:val="21"/>
        </w:rPr>
        <w:t>（每小题2分，共16分）</w:t>
      </w:r>
    </w:p>
    <w:p>
      <w:pPr>
        <w:numPr>
          <w:ilvl w:val="0"/>
          <w:numId w:val="1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A（“鲜为人知”的“鲜”读“</w:t>
      </w:r>
      <w:r>
        <w:rPr>
          <w:rFonts w:ascii="宋体" w:eastAsia="宋体" w:hAnsi="宋体" w:cs="宋体" w:hint="eastAsia"/>
          <w:lang w:val="en-US" w:eastAsia="zh-CN"/>
        </w:rPr>
        <w:t>xiǎn</w:t>
      </w:r>
      <w:r>
        <w:rPr>
          <w:rFonts w:hint="eastAsia"/>
          <w:lang w:val="en-US" w:eastAsia="zh-CN"/>
        </w:rPr>
        <w:t>”。）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B（A“历”应为“</w:t>
      </w:r>
      <w:r>
        <w:rPr>
          <w:rFonts w:ascii="宋体" w:eastAsia="宋体" w:hAnsi="宋体" w:cs="宋体" w:hint="eastAsia"/>
          <w:lang w:val="en-US" w:eastAsia="zh-CN"/>
        </w:rPr>
        <w:t>沥</w:t>
      </w:r>
      <w:r>
        <w:rPr>
          <w:rFonts w:hint="eastAsia"/>
          <w:lang w:val="en-US" w:eastAsia="zh-CN"/>
        </w:rPr>
        <w:t>”；C“作”应为“</w:t>
      </w:r>
      <w:r>
        <w:rPr>
          <w:rFonts w:ascii="宋体" w:eastAsia="宋体" w:hAnsi="宋体" w:cs="宋体" w:hint="eastAsia"/>
          <w:lang w:val="en-US" w:eastAsia="zh-CN"/>
        </w:rPr>
        <w:t>怍</w:t>
      </w:r>
      <w:r>
        <w:rPr>
          <w:rFonts w:hint="eastAsia"/>
          <w:lang w:val="en-US" w:eastAsia="zh-CN"/>
        </w:rPr>
        <w:t>”；D“锐”应为“</w:t>
      </w:r>
      <w:r>
        <w:rPr>
          <w:rFonts w:ascii="宋体" w:eastAsia="宋体" w:hAnsi="宋体" w:cs="宋体" w:hint="eastAsia"/>
          <w:lang w:val="en-US" w:eastAsia="zh-CN"/>
        </w:rPr>
        <w:t>税</w:t>
      </w:r>
      <w:r>
        <w:rPr>
          <w:rFonts w:hint="eastAsia"/>
          <w:lang w:val="en-US" w:eastAsia="zh-CN"/>
        </w:rPr>
        <w:t>”。）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D（“不以为然”意思是不认为是对的。表示不同意，多含轻视意。使用错误，应改为“不以为意”。）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C（“嗡嗡”是拟声词，不是动词。）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A（“明月”与“思念”相对，“屠苏”指屠苏酒，与“醉人”相对，“吹面不寒”指清风拂面，没有一丝寒意，与“爱抚”相对，“朝夕”“日日”与“勤快”相对。故答案为A。）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D（韩愈是唐代</w:t>
      </w:r>
      <w:r>
        <w:rPr>
          <w:rFonts w:ascii="宋体" w:eastAsia="宋体" w:hAnsi="宋体" w:cs="宋体" w:hint="eastAsia"/>
          <w:lang w:val="en-US" w:eastAsia="zh-CN"/>
        </w:rPr>
        <w:t>文学家、思想家、教育家</w:t>
      </w:r>
      <w:r>
        <w:rPr>
          <w:rFonts w:hint="eastAsia"/>
          <w:lang w:val="en-US" w:eastAsia="zh-CN"/>
        </w:rPr>
        <w:t>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spacing w:line="240" w:lineRule="auto"/>
        <w:jc w:val="left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二、现代文阅读（一）</w:t>
      </w:r>
      <w:r>
        <w:rPr>
          <w:rFonts w:ascii="宋体" w:hint="eastAsia"/>
          <w:szCs w:val="21"/>
        </w:rPr>
        <w:t>（每小题2分，共6分）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D（画线句没有运用对比的方法。）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C（选段采用了“</w:t>
      </w:r>
      <w:r>
        <w:rPr>
          <w:rFonts w:ascii="宋体" w:eastAsia="宋体" w:hAnsi="宋体" w:cs="宋体" w:hint="eastAsia"/>
          <w:lang w:val="en-US" w:eastAsia="zh-CN"/>
        </w:rPr>
        <w:t>总-分-总</w:t>
      </w:r>
      <w:r>
        <w:rPr>
          <w:rFonts w:hint="eastAsia"/>
          <w:lang w:val="en-US" w:eastAsia="zh-CN"/>
        </w:rPr>
        <w:t>”的结构形式。）</w:t>
      </w:r>
    </w:p>
    <w:p>
      <w:pPr>
        <w:spacing w:line="240" w:lineRule="auto"/>
        <w:jc w:val="left"/>
        <w:rPr>
          <w:rFonts w:hint="default"/>
          <w:lang w:val="en-US" w:eastAsia="zh-CN"/>
        </w:rPr>
      </w:pPr>
      <w:r>
        <w:rPr>
          <w:rFonts w:ascii="宋体" w:hint="eastAsia"/>
          <w:b/>
          <w:szCs w:val="21"/>
        </w:rPr>
        <w:t>三、古诗文阅读</w:t>
      </w:r>
      <w:r>
        <w:rPr>
          <w:rFonts w:ascii="宋体" w:hint="eastAsia"/>
          <w:spacing w:val="-6"/>
          <w:w w:val="95"/>
          <w:szCs w:val="21"/>
        </w:rPr>
        <w:t>（12～15小题，每小题2分，共</w:t>
      </w:r>
      <w:r>
        <w:rPr>
          <w:rFonts w:ascii="宋体" w:hint="eastAsia"/>
          <w:spacing w:val="-6"/>
          <w:w w:val="95"/>
          <w:szCs w:val="21"/>
          <w:lang w:val="en-US" w:eastAsia="zh-CN"/>
        </w:rPr>
        <w:t>6</w:t>
      </w:r>
      <w:r>
        <w:rPr>
          <w:rFonts w:ascii="宋体" w:hint="eastAsia"/>
          <w:spacing w:val="-6"/>
          <w:w w:val="95"/>
          <w:szCs w:val="21"/>
        </w:rPr>
        <w:t>分；1</w:t>
      </w:r>
      <w:r>
        <w:rPr>
          <w:rFonts w:ascii="宋体" w:hint="eastAsia"/>
          <w:spacing w:val="-6"/>
          <w:w w:val="95"/>
          <w:szCs w:val="21"/>
          <w:lang w:val="en-US" w:eastAsia="zh-CN"/>
        </w:rPr>
        <w:t>5</w:t>
      </w:r>
      <w:r>
        <w:rPr>
          <w:rFonts w:ascii="宋体" w:hint="eastAsia"/>
          <w:spacing w:val="-6"/>
          <w:w w:val="95"/>
          <w:szCs w:val="21"/>
        </w:rPr>
        <w:t>～1</w:t>
      </w:r>
      <w:r>
        <w:rPr>
          <w:rFonts w:ascii="宋体" w:hint="eastAsia"/>
          <w:spacing w:val="-6"/>
          <w:w w:val="95"/>
          <w:szCs w:val="21"/>
          <w:lang w:val="en-US" w:eastAsia="zh-CN"/>
        </w:rPr>
        <w:t>8</w:t>
      </w:r>
      <w:r>
        <w:rPr>
          <w:rFonts w:ascii="宋体" w:hint="eastAsia"/>
          <w:spacing w:val="-6"/>
          <w:w w:val="95"/>
          <w:szCs w:val="21"/>
        </w:rPr>
        <w:t>小题，共10分；本大题共1</w:t>
      </w:r>
      <w:r>
        <w:rPr>
          <w:rFonts w:ascii="宋体" w:hint="eastAsia"/>
          <w:spacing w:val="-6"/>
          <w:w w:val="95"/>
          <w:szCs w:val="21"/>
          <w:lang w:val="en-US" w:eastAsia="zh-CN"/>
        </w:rPr>
        <w:t>6</w:t>
      </w:r>
      <w:r>
        <w:rPr>
          <w:rFonts w:ascii="宋体" w:hint="eastAsia"/>
          <w:spacing w:val="-6"/>
          <w:w w:val="95"/>
          <w:szCs w:val="21"/>
        </w:rPr>
        <w:t>分）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A学习（B了解/拜见；C代词，……的时候”/代词，……的人；D表承接关系/表转折关系。）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C（该句句意为：只应当粗略地阅读，了解历史罢了。故正确停顿为“</w:t>
      </w:r>
      <w:r>
        <w:rPr>
          <w:rFonts w:ascii="宋体" w:eastAsia="宋体" w:hAnsi="宋体" w:cs="宋体" w:hint="eastAsia"/>
        </w:rPr>
        <w:t>但当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涉猎，见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往事耳</w:t>
      </w:r>
      <w:r>
        <w:rPr>
          <w:rFonts w:hint="eastAsia"/>
          <w:lang w:val="en-US" w:eastAsia="zh-CN"/>
        </w:rPr>
        <w:t>”。）</w:t>
      </w:r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D（根据文章内容可知鲁肃与吕蒙结友的原因是敬佩吕蒙的才学，说明他是一个敬才、爱才之人。因而选项中“</w:t>
      </w:r>
      <w:r>
        <w:rPr>
          <w:rFonts w:ascii="宋体" w:eastAsia="宋体" w:hAnsi="宋体" w:cs="宋体" w:hint="eastAsia"/>
          <w:lang w:val="en-US" w:eastAsia="zh-CN"/>
        </w:rPr>
        <w:t>一是吕蒙是孙权的爱将，掌管着军权事务</w:t>
      </w:r>
      <w:r>
        <w:rPr>
          <w:rFonts w:hint="eastAsia"/>
          <w:lang w:val="en-US" w:eastAsia="zh-CN"/>
        </w:rPr>
        <w:t>”“识时务”的理解有误。）</w:t>
      </w:r>
      <w:bookmarkStart w:id="0" w:name="_GoBack"/>
      <w:bookmarkEnd w:id="0"/>
    </w:p>
    <w:p>
      <w:pPr>
        <w:numPr>
          <w:ilvl w:val="0"/>
          <w:numId w:val="1"/>
        </w:numPr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（1）我经常读书，自以为大有益处。（意对即可）</w:t>
      </w:r>
    </w:p>
    <w:p>
      <w:pPr>
        <w:numPr>
          <w:ilvl w:val="0"/>
          <w:numId w:val="2"/>
        </w:numPr>
        <w:spacing w:line="240" w:lineRule="auto"/>
        <w:ind w:left="315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长兄知道这件事怎么这么晚呢！（意对即可）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695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（1）突然 （2）介词，在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妻子回来后觉得奇怪，便责问他，高凤才知道麦子被水冲走了。（意对即可）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启示：无论干什么事都要专心致志，如此才能有所成就。（在平时的生活中，</w:t>
      </w:r>
      <w:r>
        <w:rPr>
          <w:rFonts w:hint="eastAsia"/>
          <w:lang w:eastAsia="zh-CN"/>
        </w:rPr>
        <w:t>我们不能一味地</w:t>
      </w:r>
      <w:r>
        <w:rPr>
          <w:rFonts w:hint="eastAsia"/>
        </w:rPr>
        <w:t>专注读书而不关心周围的事物。</w:t>
      </w:r>
      <w:r>
        <w:rPr>
          <w:rFonts w:hint="eastAsia"/>
          <w:lang w:eastAsia="zh-CN"/>
        </w:rPr>
        <w:t>）（意思相近即可）</w:t>
      </w:r>
    </w:p>
    <w:p>
      <w:pPr>
        <w:widowControl w:val="0"/>
        <w:numPr>
          <w:ilvl w:val="0"/>
          <w:numId w:val="0"/>
        </w:numPr>
        <w:spacing w:line="240" w:lineRule="auto"/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译文：</w:t>
      </w:r>
      <w:r>
        <w:t>高凤，字文通，</w:t>
      </w:r>
      <w:r>
        <w:rPr>
          <w:rFonts w:hint="eastAsia"/>
          <w:lang w:eastAsia="zh-CN"/>
        </w:rPr>
        <w:t>东汉南阳人。他年轻时</w:t>
      </w:r>
      <w:r>
        <w:t>是名学生，家</w:t>
      </w:r>
      <w:r>
        <w:rPr>
          <w:rFonts w:hint="eastAsia"/>
          <w:lang w:eastAsia="zh-CN"/>
        </w:rPr>
        <w:t>里</w:t>
      </w:r>
      <w:r>
        <w:t>以种</w:t>
      </w:r>
      <w:hyperlink r:id="rId6" w:tgtFrame="https://www.gushimi.org/shangxi/_blank" w:history="1">
        <w:r>
          <w:rPr>
            <w:rFonts w:hint="eastAsia"/>
          </w:rPr>
          <w:t>田为</w:t>
        </w:r>
      </w:hyperlink>
      <w:r>
        <w:rPr>
          <w:rFonts w:hint="eastAsia"/>
        </w:rPr>
        <w:t>生，但</w:t>
      </w:r>
      <w:r>
        <w:rPr>
          <w:rFonts w:hint="eastAsia"/>
          <w:lang w:eastAsia="zh-CN"/>
        </w:rPr>
        <w:t>他</w:t>
      </w:r>
      <w:r>
        <w:rPr>
          <w:rFonts w:hint="eastAsia"/>
        </w:rPr>
        <w:t>精通读书，白天黑夜都不停息。</w:t>
      </w:r>
      <w:r>
        <w:rPr>
          <w:rFonts w:hint="eastAsia"/>
          <w:lang w:eastAsia="zh-CN"/>
        </w:rPr>
        <w:t>他的</w:t>
      </w:r>
      <w:r>
        <w:rPr>
          <w:rFonts w:hint="eastAsia"/>
        </w:rPr>
        <w:t>妻子曾经有一次到田地里去，在庭院里面晾晒麦子，让高凤看住鸡以防</w:t>
      </w:r>
      <w:r>
        <w:rPr>
          <w:rFonts w:hint="eastAsia"/>
          <w:lang w:eastAsia="zh-CN"/>
        </w:rPr>
        <w:t>鸡</w:t>
      </w:r>
      <w:r>
        <w:rPr>
          <w:rFonts w:hint="eastAsia"/>
        </w:rPr>
        <w:t>吃麦</w:t>
      </w:r>
      <w:r>
        <w:rPr>
          <w:rFonts w:hint="eastAsia"/>
          <w:lang w:eastAsia="zh-CN"/>
        </w:rPr>
        <w:t>子</w:t>
      </w:r>
      <w:r>
        <w:rPr>
          <w:rFonts w:hint="eastAsia"/>
        </w:rPr>
        <w:t>。当时突然下</w:t>
      </w:r>
      <w:r>
        <w:rPr>
          <w:rFonts w:hint="eastAsia"/>
          <w:lang w:eastAsia="zh-CN"/>
        </w:rPr>
        <w:t>起</w:t>
      </w:r>
      <w:r>
        <w:rPr>
          <w:rFonts w:hint="eastAsia"/>
        </w:rPr>
        <w:t>了雨，高凤拿着竹竿读书，没有发觉水已经把麦子冲走了。妻子回来觉得很奇怪，便问他，高凤才发觉</w:t>
      </w:r>
      <w:r>
        <w:rPr>
          <w:rFonts w:hint="eastAsia"/>
          <w:lang w:eastAsia="zh-CN"/>
        </w:rPr>
        <w:t>麦子</w:t>
      </w:r>
      <w:r>
        <w:rPr>
          <w:rFonts w:hint="eastAsia"/>
        </w:rPr>
        <w:t>被</w:t>
      </w:r>
      <w:r>
        <w:rPr>
          <w:rFonts w:hint="eastAsia"/>
          <w:lang w:eastAsia="zh-CN"/>
        </w:rPr>
        <w:t>水</w:t>
      </w:r>
      <w:r>
        <w:rPr>
          <w:rFonts w:hint="eastAsia"/>
        </w:rPr>
        <w:t>冲走了。</w:t>
      </w:r>
      <w:r>
        <w:rPr>
          <w:rFonts w:hint="eastAsia"/>
          <w:lang w:eastAsia="zh-CN"/>
        </w:rPr>
        <w:t>后来，</w:t>
      </w:r>
      <w:r>
        <w:rPr>
          <w:rFonts w:hint="eastAsia"/>
        </w:rPr>
        <w:t>高凤成为了一名</w:t>
      </w:r>
      <w:r>
        <w:rPr>
          <w:rFonts w:hint="eastAsia"/>
          <w:lang w:eastAsia="zh-CN"/>
        </w:rPr>
        <w:t>著名</w:t>
      </w:r>
      <w:r>
        <w:rPr>
          <w:rFonts w:hint="eastAsia"/>
        </w:rPr>
        <w:t>的学者，于是在西唐山教学生读书。</w:t>
      </w:r>
      <w:r>
        <w:rPr>
          <w:rFonts w:hint="eastAsia"/>
          <w:lang w:eastAsia="zh-CN"/>
        </w:rPr>
        <w:t>高凤年老后，坚持志向，不改变操守，名声闻名于天下。</w:t>
      </w:r>
    </w:p>
    <w:p>
      <w:pPr>
        <w:spacing w:line="240" w:lineRule="auto"/>
        <w:jc w:val="left"/>
        <w:rPr>
          <w:rFonts w:ascii="宋体" w:hint="eastAsia"/>
          <w:szCs w:val="21"/>
        </w:rPr>
      </w:pPr>
      <w:r>
        <w:rPr>
          <w:rFonts w:ascii="宋体" w:hint="eastAsia"/>
          <w:b/>
          <w:szCs w:val="21"/>
        </w:rPr>
        <w:t>四、默写</w:t>
      </w:r>
      <w:r>
        <w:rPr>
          <w:rFonts w:ascii="宋体" w:hint="eastAsia"/>
          <w:szCs w:val="21"/>
        </w:rPr>
        <w:t>（共10分）</w:t>
      </w:r>
    </w:p>
    <w:p>
      <w:pPr>
        <w:widowControl w:val="0"/>
        <w:numPr>
          <w:ilvl w:val="0"/>
          <w:numId w:val="1"/>
        </w:numPr>
        <w:spacing w:line="240" w:lineRule="auto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（1）①朔气传金柝  寒光照铁衣  ②杨花榆荚无才思  惟解漫天作雪飞 ③故园东望路漫漫  双袖龙钟泪不干</w:t>
      </w:r>
    </w:p>
    <w:p>
      <w:pPr>
        <w:widowControl w:val="0"/>
        <w:numPr>
          <w:ilvl w:val="0"/>
          <w:numId w:val="0"/>
        </w:numPr>
        <w:spacing w:line="240" w:lineRule="auto"/>
        <w:ind w:left="31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（2）独坐幽篁里  弹琴复长啸  深林人不知  明月来相照</w:t>
      </w:r>
    </w:p>
    <w:p>
      <w:pPr>
        <w:spacing w:line="240" w:lineRule="auto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五、综合</w:t>
      </w:r>
      <w:r>
        <w:rPr>
          <w:rFonts w:ascii="宋体" w:hint="eastAsia"/>
          <w:b/>
          <w:szCs w:val="21"/>
          <w:lang w:eastAsia="zh-CN"/>
        </w:rPr>
        <w:t>题</w: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  <w:lang w:val="en-US" w:eastAsia="zh-CN"/>
        </w:rPr>
        <w:t>10</w:t>
      </w:r>
      <w:r>
        <w:rPr>
          <w:rFonts w:ascii="宋体" w:hint="eastAsia"/>
          <w:szCs w:val="21"/>
        </w:rPr>
        <w:t>分）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示例一：爱国，是每个中华儿女义不容辞的责任（1分）。我们应将爱国之情长存心间（1分）。从《邓稼先》一文中，我们看到了邓稼先“鞠躬尽瘁，死而后已”的光辉一生（1分），他的爱国精神时时激励着我们（1分）。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：家是最小的国，国是最小的家（1分）。我们要把爱家、爱国的热情统一起来（1分）。第二单元学了《木兰诗》，花木兰代父从军、征战沙场（1分），她身上具有的家国情怀正是中华儿女内在品格的体现（1分）。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（2）示例：为国尽瘁振中华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（3）示例：</w:t>
      </w:r>
      <w:r>
        <w:t>仰望历史的天空，家国情怀熠熠生辉；跨越时间的长河，家国情怀绵绵不断。从历史到现实，家国的书写、大我的境界，始终激励着人们勇毅前行。</w:t>
      </w:r>
      <w:r>
        <w:rPr>
          <w:rFonts w:hint="eastAsia"/>
          <w:lang w:eastAsia="zh-CN"/>
        </w:rPr>
        <w:t>今天，让我们一起徜徉在诗词的国度里，感受那些动人的家国情怀。（语言表达简明、连贯、得体，围绕“家国”主题展开，引出活动。）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）示例：黄河是中国的母亲河，是中华民族精神的象征（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）。《黄河颂》这首诗通过赞美黄河，歌颂了中华民族顽强的奋斗精神和不屈的意志（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</w:p>
    <w:p>
      <w:pPr>
        <w:spacing w:line="240" w:lineRule="auto"/>
        <w:jc w:val="left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六、现代文阅读（二）</w:t>
      </w:r>
      <w:r>
        <w:rPr>
          <w:rFonts w:ascii="宋体" w:hint="eastAsia"/>
          <w:szCs w:val="21"/>
        </w:rPr>
        <w:t>（共12分）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（1）环境描写（1分），通过描写行道树灰暗、压抑的景色，烘托了老王灰暗、郁闷的心情（1分）。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（2）“瞪”指睁大眼睛注视，表示不满意（1分）。这个词生动地写出了老王对群众不扶老人的行为的责怪（不满）（1分）。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能删去。最后一段在内容上记叙了单位对老王善举的表彰，解决了老王搬出去租房住的烦恼，升华了文章的主题（1分），表现了作者对老王热心助人这一善举的认同与赞美（1分）；结构上照应了前文的内容，使文章结构更加完整（1分）。（若学生回答可以删去，言之有理可得分。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他们都很善良（乐于助人），在别人需要帮助的时候，施以援手（1分）。教材中的老王送钱先生看病不收车费（给杨绛一家送冰车费减半；给杨绛一家送珍贵的香油和鸡蛋等）（1分）；文中的老王没有顾虑太多，毅然扶起跌倒的老人（1分）。</w:t>
      </w:r>
    </w:p>
    <w:p>
      <w:pPr>
        <w:spacing w:line="240" w:lineRule="auto"/>
        <w:jc w:val="left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七、作文</w:t>
      </w:r>
      <w:r>
        <w:rPr>
          <w:rFonts w:ascii="宋体" w:hint="eastAsia"/>
          <w:szCs w:val="21"/>
        </w:rPr>
        <w:t>（50分）</w:t>
      </w: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jc w:val="left"/>
        <w:rPr>
          <w:rFonts w:ascii="宋体"/>
          <w:szCs w:val="21"/>
        </w:rPr>
      </w:pPr>
      <w:r>
        <w:rPr>
          <w:rFonts w:ascii="宋体" w:cs="楷体" w:hint="eastAsia"/>
          <w:color w:val="000000"/>
          <w:szCs w:val="21"/>
        </w:rPr>
        <w:t>评分细则</w:t>
      </w:r>
    </w:p>
    <w:tbl>
      <w:tblPr>
        <w:tblStyle w:val="TableNormal"/>
        <w:tblW w:w="8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08"/>
        <w:gridCol w:w="1209"/>
        <w:gridCol w:w="1209"/>
        <w:gridCol w:w="1208"/>
        <w:gridCol w:w="1209"/>
        <w:gridCol w:w="1209"/>
      </w:tblGrid>
      <w:tr>
        <w:tblPrEx>
          <w:tblW w:w="821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/>
          <w:jc w:val="center"/>
        </w:trPr>
        <w:tc>
          <w:tcPr>
            <w:tcW w:w="959" w:type="dxa"/>
            <w:noWrap w:val="0"/>
            <w:vAlign w:val="top"/>
          </w:tcPr>
          <w:p>
            <w:pPr>
              <w:pStyle w:val="NoSpacing"/>
              <w:spacing w:line="240" w:lineRule="auto"/>
              <w:rPr>
                <w:sz w:val="18"/>
              </w:rPr>
            </w:pPr>
          </w:p>
          <w:p>
            <w:pPr>
              <w:pStyle w:val="NoSpacing"/>
              <w:spacing w:line="240" w:lineRule="auto"/>
              <w:rPr>
                <w:sz w:val="18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一类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50~46分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二类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45~41分</w:t>
            </w:r>
          </w:p>
        </w:tc>
        <w:tc>
          <w:tcPr>
            <w:tcW w:w="1209" w:type="dxa"/>
            <w:noWrap w:val="0"/>
            <w:vAlign w:val="top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三类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40~35分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四类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34~30分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五类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29~20分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六类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19~0分</w:t>
            </w:r>
          </w:p>
        </w:tc>
      </w:tr>
      <w:tr>
        <w:tblPrEx>
          <w:tblW w:w="821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内容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（21分）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切题，中心突出，内容充实，立意正确</w:t>
            </w:r>
            <w:r>
              <w:rPr>
                <w:rFonts w:hint="eastAsia"/>
                <w:spacing w:val="-8"/>
                <w:sz w:val="18"/>
              </w:rPr>
              <w:t>、</w:t>
            </w:r>
            <w:r>
              <w:rPr>
                <w:spacing w:val="-8"/>
                <w:sz w:val="18"/>
              </w:rPr>
              <w:t>深刻。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切题，中心明确，内容充实，立意正确。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符合题意，中心较明确，内容较充实。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基本符合题意，中心基本明确，内容尚充实。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偏离题意，中心不明确。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严重偏离题意。</w:t>
            </w:r>
          </w:p>
        </w:tc>
      </w:tr>
      <w:tr>
        <w:tblPrEx>
          <w:tblW w:w="821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语言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（16分）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行文流畅，语言准确生动，能灵活运用多种表达方式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表现手法多样</w:t>
            </w:r>
            <w:r>
              <w:rPr>
                <w:rFonts w:hint="eastAsia"/>
                <w:sz w:val="18"/>
              </w:rPr>
              <w:t>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文从字顺，语言比较生动，</w:t>
            </w:r>
            <w:r>
              <w:rPr>
                <w:rFonts w:hint="eastAsia"/>
                <w:sz w:val="18"/>
              </w:rPr>
              <w:t>能运用多种表达方式。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语言通顺，表达尚好。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语言基本通顺，有少量语病。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语句不通顺，语病较多。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文理不通。</w:t>
            </w:r>
          </w:p>
        </w:tc>
      </w:tr>
      <w:tr>
        <w:tblPrEx>
          <w:tblW w:w="821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（10分）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结构严谨，层次清晰，构思新颖、巧妙。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结构紧凑，层次清楚，构思新颖。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结构完整，层次比较清楚。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结构尚完整，层次尚清楚。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结构层次混乱。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结构不完整，层次混乱。</w:t>
            </w:r>
          </w:p>
        </w:tc>
      </w:tr>
      <w:tr>
        <w:tblPrEx>
          <w:tblW w:w="821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文面书写</w:t>
            </w:r>
          </w:p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（3分）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字体工整、美观，书写、标点、格式正确，卷面整洁。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字体端正，书写、标点、格式正确，卷面干净。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字迹清楚，书写、标点、格式基本符合要求，卷面干净。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字迹清楚，有少量错别字和标点错误，有少量涂改。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pacing w:val="-6"/>
                <w:sz w:val="18"/>
              </w:rPr>
            </w:pPr>
            <w:r>
              <w:rPr>
                <w:spacing w:val="-6"/>
                <w:sz w:val="18"/>
              </w:rPr>
              <w:t>字迹潦草难辨，错别字和标点错误较多，有较多涂改。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pStyle w:val="NoSpacing"/>
              <w:spacing w:line="240" w:lineRule="auto"/>
              <w:rPr>
                <w:spacing w:val="-6"/>
                <w:sz w:val="18"/>
              </w:rPr>
            </w:pPr>
            <w:r>
              <w:rPr>
                <w:spacing w:val="-6"/>
                <w:sz w:val="18"/>
              </w:rPr>
              <w:t>字体不易辨认，错别字和标点错误多，卷面很不整洁。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ascii="宋体" w:cs="楷体" w:hint="eastAsia"/>
          <w:color w:val="000000"/>
          <w:w w:val="98"/>
        </w:rPr>
        <w:t>补充说明：（1）文中每错3个字扣1分，重现不计，最多扣3分。（2）字数不足600字者，每少50字扣1分，最多扣3分。（3）文中出现真实的校名、地名、人名，一经查实扣2分。（4）没有完整题目的扣2分。</w:t>
      </w:r>
    </w:p>
    <w:p>
      <w:pPr>
        <w:numPr>
          <w:ilvl w:val="0"/>
          <w:numId w:val="0"/>
        </w:numPr>
        <w:spacing w:line="240" w:lineRule="auto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825ECFF"/>
    <w:multiLevelType w:val="singleLevel"/>
    <w:tmpl w:val="F825ECF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88CDAF5"/>
    <w:multiLevelType w:val="singleLevel"/>
    <w:tmpl w:val="588CDAF5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C048E2"/>
    <w:rsid w:val="00217BA6"/>
    <w:rsid w:val="02F368C8"/>
    <w:rsid w:val="044E7043"/>
    <w:rsid w:val="08026D7A"/>
    <w:rsid w:val="0845319B"/>
    <w:rsid w:val="0A4E557E"/>
    <w:rsid w:val="14E83353"/>
    <w:rsid w:val="19382194"/>
    <w:rsid w:val="19E968F9"/>
    <w:rsid w:val="1C316996"/>
    <w:rsid w:val="226112BE"/>
    <w:rsid w:val="26E05A2D"/>
    <w:rsid w:val="28E84F03"/>
    <w:rsid w:val="2AEF5986"/>
    <w:rsid w:val="2BCE299A"/>
    <w:rsid w:val="2D1E289A"/>
    <w:rsid w:val="2F5F5CDC"/>
    <w:rsid w:val="2FFD1DB7"/>
    <w:rsid w:val="31927396"/>
    <w:rsid w:val="32833012"/>
    <w:rsid w:val="33A60193"/>
    <w:rsid w:val="342A534F"/>
    <w:rsid w:val="36601EAC"/>
    <w:rsid w:val="399D2B70"/>
    <w:rsid w:val="3A422A40"/>
    <w:rsid w:val="3A6F680C"/>
    <w:rsid w:val="3E1A260B"/>
    <w:rsid w:val="3ED761E4"/>
    <w:rsid w:val="3F074B73"/>
    <w:rsid w:val="416971E5"/>
    <w:rsid w:val="44C048E2"/>
    <w:rsid w:val="492C3B8D"/>
    <w:rsid w:val="49A13A23"/>
    <w:rsid w:val="49C61E21"/>
    <w:rsid w:val="49F61406"/>
    <w:rsid w:val="4E2C3F43"/>
    <w:rsid w:val="4E3769F1"/>
    <w:rsid w:val="4E9A6B6E"/>
    <w:rsid w:val="54B45ED0"/>
    <w:rsid w:val="55967AF6"/>
    <w:rsid w:val="55C0374C"/>
    <w:rsid w:val="5870332D"/>
    <w:rsid w:val="59794F49"/>
    <w:rsid w:val="5B736E68"/>
    <w:rsid w:val="5F060EF4"/>
    <w:rsid w:val="5F5F6E83"/>
    <w:rsid w:val="5F9E3154"/>
    <w:rsid w:val="5FF63873"/>
    <w:rsid w:val="6D957F69"/>
    <w:rsid w:val="6E3C6F38"/>
    <w:rsid w:val="76212EDA"/>
    <w:rsid w:val="77195A27"/>
    <w:rsid w:val="776F66F3"/>
    <w:rsid w:val="7ABC3F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宋体" w:eastAsia="宋体" w:hAnsi="宋体" w:cs="Times New Roman"/>
      <w:kern w:val="2"/>
      <w:sz w:val="21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www.gushimi.org/shiren/2984.html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南瓜</dc:creator>
  <cp:lastModifiedBy>南瓜</cp:lastModifiedBy>
  <cp:revision>1</cp:revision>
  <cp:lastPrinted>2021-04-18T01:53:00Z</cp:lastPrinted>
  <dcterms:created xsi:type="dcterms:W3CDTF">2021-02-24T04:04:00Z</dcterms:created>
  <dcterms:modified xsi:type="dcterms:W3CDTF">2021-04-26T09:27:01Z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