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楷体_GB2312" w:eastAsia="楷体_GB2312" w:hAnsi="华文仿宋"/>
          <w:b/>
          <w:sz w:val="44"/>
          <w:szCs w:val="44"/>
        </w:rPr>
      </w:pPr>
      <w:r>
        <w:rPr>
          <w:rFonts w:ascii="楷体_GB2312" w:eastAsia="楷体_GB2312" w:hAnsi="华文仿宋" w:hint="eastAsia"/>
          <w:b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34pt;margin-top:945pt;margin-left:12in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ascii="楷体_GB2312" w:eastAsia="楷体_GB2312" w:hAnsi="华文仿宋" w:hint="eastAsia"/>
          <w:b/>
          <w:sz w:val="44"/>
          <w:szCs w:val="44"/>
        </w:rPr>
        <w:t>繁昌三中</w:t>
      </w:r>
      <w:r>
        <w:rPr>
          <w:rFonts w:ascii="楷体_GB2312" w:eastAsia="楷体_GB2312" w:hAnsi="华文仿宋"/>
          <w:b/>
          <w:sz w:val="44"/>
          <w:szCs w:val="44"/>
        </w:rPr>
        <w:t>20-21</w:t>
      </w:r>
      <w:r>
        <w:rPr>
          <w:rFonts w:ascii="楷体_GB2312" w:eastAsia="楷体_GB2312" w:hAnsi="华文仿宋" w:hint="eastAsia"/>
          <w:b/>
          <w:sz w:val="44"/>
          <w:szCs w:val="44"/>
        </w:rPr>
        <w:t>（</w:t>
      </w:r>
      <w:r>
        <w:rPr>
          <w:rFonts w:ascii="楷体_GB2312" w:eastAsia="楷体_GB2312" w:hAnsi="华文仿宋"/>
          <w:b/>
          <w:sz w:val="44"/>
          <w:szCs w:val="44"/>
        </w:rPr>
        <w:t>1</w:t>
      </w:r>
      <w:r>
        <w:rPr>
          <w:rFonts w:ascii="楷体_GB2312" w:eastAsia="楷体_GB2312" w:hAnsi="华文仿宋" w:hint="eastAsia"/>
          <w:b/>
          <w:sz w:val="44"/>
          <w:szCs w:val="44"/>
        </w:rPr>
        <w:t>）七年级考试</w:t>
      </w:r>
    </w:p>
    <w:p>
      <w:pPr>
        <w:pStyle w:val="Title"/>
        <w:spacing w:before="0" w:after="0"/>
      </w:pPr>
      <w:r>
        <w:rPr>
          <w:rFonts w:hint="eastAsia"/>
        </w:rPr>
        <w:t>语文试卷</w:t>
      </w:r>
    </w:p>
    <w:p>
      <w:pPr>
        <w:jc w:val="center"/>
        <w:rPr>
          <w:szCs w:val="21"/>
        </w:rPr>
      </w:pPr>
      <w:r>
        <w:rPr>
          <w:rFonts w:hint="eastAsia"/>
          <w:szCs w:val="21"/>
        </w:rPr>
        <w:t>（试卷满分100分）</w:t>
      </w:r>
    </w:p>
    <w:p>
      <w:pPr>
        <w:widowControl w:val="0"/>
        <w:numPr>
          <w:ilvl w:val="0"/>
          <w:numId w:val="1"/>
        </w:numPr>
        <w:ind w:firstLine="420" w:firstLineChars="200"/>
        <w:jc w:val="both"/>
      </w:pPr>
      <w:r>
        <w:rPr>
          <w:rFonts w:hint="eastAsia"/>
        </w:rPr>
        <w:t>语文积累与运用（20分）</w:t>
      </w:r>
    </w:p>
    <w:p>
      <w:pPr>
        <w:widowControl w:val="0"/>
        <w:numPr>
          <w:ilvl w:val="0"/>
          <w:numId w:val="2"/>
        </w:numPr>
        <w:ind w:firstLine="420" w:firstLineChars="200"/>
        <w:jc w:val="both"/>
      </w:pPr>
      <w:r>
        <w:rPr>
          <w:rFonts w:hint="eastAsia"/>
        </w:rPr>
        <w:t>古诗默写（8分）</w:t>
      </w:r>
    </w:p>
    <w:p>
      <w:pPr>
        <w:widowControl w:val="0"/>
        <w:numPr>
          <w:ilvl w:val="0"/>
          <w:numId w:val="3"/>
        </w:numPr>
        <w:ind w:firstLine="420" w:firstLineChars="200"/>
        <w:jc w:val="both"/>
      </w:pPr>
      <w:r>
        <w:rPr>
          <w:rFonts w:hint="eastAsia"/>
        </w:rPr>
        <w:t>东临碣石，以观沧海，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。（曹操《观沧海》）</w:t>
      </w:r>
    </w:p>
    <w:p>
      <w:pPr>
        <w:widowControl w:val="0"/>
        <w:numPr>
          <w:ilvl w:val="0"/>
          <w:numId w:val="3"/>
        </w:numPr>
        <w:ind w:firstLine="420" w:firstLineChars="200"/>
        <w:jc w:val="both"/>
      </w:pPr>
      <w:r>
        <w:rPr>
          <w:rFonts w:hint="eastAsia"/>
        </w:rPr>
        <w:t>我寄愁心与明月，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。（李白《闻王昌龄左迁龙标遥有此寄》）</w:t>
      </w:r>
    </w:p>
    <w:p>
      <w:pPr>
        <w:widowControl w:val="0"/>
        <w:numPr>
          <w:ilvl w:val="0"/>
          <w:numId w:val="3"/>
        </w:numPr>
        <w:ind w:firstLine="420" w:firstLineChars="200"/>
        <w:jc w:val="both"/>
      </w:pPr>
      <w:r>
        <w:rPr>
          <w:rFonts w:hint="eastAsia"/>
        </w:rPr>
        <w:t>默写《次北固山下》的颔联与颈联：</w:t>
      </w:r>
    </w:p>
    <w:p>
      <w:pPr>
        <w:ind w:firstLine="420" w:firstLineChars="200"/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>。</w:t>
      </w:r>
    </w:p>
    <w:p>
      <w:pPr>
        <w:ind w:firstLine="420" w:firstLineChars="200"/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>。</w:t>
      </w:r>
    </w:p>
    <w:p>
      <w:pPr>
        <w:ind w:firstLine="420" w:firstLineChars="200"/>
      </w:pPr>
    </w:p>
    <w:p>
      <w:pPr>
        <w:widowControl w:val="0"/>
        <w:numPr>
          <w:ilvl w:val="0"/>
          <w:numId w:val="3"/>
        </w:numPr>
        <w:ind w:firstLine="420" w:firstLineChars="200"/>
        <w:jc w:val="both"/>
      </w:pPr>
      <w:r>
        <w:rPr>
          <w:rFonts w:hint="eastAsia"/>
        </w:rPr>
        <w:t>《江南逢李龟年》一诗中既有个人身世之悲，也有对一个时代落幕的慨叹的一句是：</w:t>
      </w:r>
    </w:p>
    <w:p>
      <w:pPr>
        <w:ind w:firstLine="420" w:firstLineChars="200"/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</w:rPr>
        <w:t>。</w:t>
      </w:r>
    </w:p>
    <w:p>
      <w:pPr>
        <w:widowControl w:val="0"/>
        <w:numPr>
          <w:ilvl w:val="0"/>
          <w:numId w:val="2"/>
        </w:numPr>
        <w:ind w:firstLine="420" w:firstLineChars="200"/>
        <w:jc w:val="both"/>
      </w:pPr>
      <w:r>
        <w:t>仔细阅读下列语段，按要求完成答题。  </w:t>
      </w:r>
      <w:r>
        <w:rPr>
          <w:rFonts w:hint="eastAsia"/>
        </w:rPr>
        <w:t>（10分）</w:t>
      </w:r>
      <w:r>
        <w:t xml:space="preserve">     </w:t>
      </w:r>
    </w:p>
    <w:p>
      <w:pPr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cs="宋体"/>
          <w:kern w:val="0"/>
          <w:szCs w:val="21"/>
        </w:rPr>
        <w:t>【权威发布】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>
      <w:pPr>
        <w:pStyle w:val="MsoPlainText"/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“世界读书日”刚刚过去。日前，中国新闻出版研究院发布了《第十五次全国国民阅读调查报告》。报告数据部分数据如下。</w:t>
      </w:r>
    </w:p>
    <w:tbl>
      <w:tblPr>
        <w:tblStyle w:val="MsoNormal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one" w:sz="0" w:space="0" w:color="auto"/>
          <w:insideV w:val="none" w:sz="0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1710"/>
        <w:gridCol w:w="1710"/>
        <w:gridCol w:w="1710"/>
        <w:gridCol w:w="1710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90" w:type="dxa"/>
            <w:gridSpan w:val="5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2017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年我国成年国民各类数字化阅读方式接触率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W w:w="0" w:type="auto"/>
          <w:tblInd w:w="42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年份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网络在线阅读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手机阅读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电子阅读器阅读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平板电脑阅读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W w:w="0" w:type="auto"/>
          <w:tblInd w:w="42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2016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55.3%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66.1%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7.8%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10.6% </w:t>
            </w:r>
          </w:p>
        </w:tc>
      </w:tr>
      <w:tr>
        <w:tblPrEx>
          <w:tblW w:w="0" w:type="auto"/>
          <w:tblInd w:w="42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2017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59.7%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71.0%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14.3% 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12.8% </w:t>
            </w:r>
          </w:p>
        </w:tc>
      </w:tr>
    </w:tbl>
    <w:p>
      <w:pPr>
        <w:ind w:firstLine="420" w:firstLineChars="200"/>
        <w:textAlignment w:val="center"/>
        <w:rPr>
          <w:vanish/>
        </w:rPr>
      </w:pPr>
    </w:p>
    <w:tbl>
      <w:tblPr>
        <w:tblStyle w:val="MsoNormal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one" w:sz="0" w:space="0" w:color="auto"/>
          <w:insideV w:val="none" w:sz="0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36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95" w:type="dxa"/>
            <w:gridSpan w:val="8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2017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年我国成年国民各类媒介人均阅读时长（单位：分钟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每天）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W w:w="0" w:type="auto"/>
          <w:tblInd w:w="42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95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年份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240" w:type="dxa"/>
            <w:gridSpan w:val="3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纸质媒介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4590" w:type="dxa"/>
            <w:gridSpan w:val="4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数字化媒介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W w:w="0" w:type="auto"/>
          <w:tblInd w:w="42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>
            <w:pPr>
              <w:ind w:firstLine="48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图书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报纸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期刊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互联网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手机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平板电脑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电子阅读器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W w:w="0" w:type="auto"/>
          <w:tblInd w:w="42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2016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20.2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13.2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6.6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57.2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74.4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13.9 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5.5 </w:t>
            </w:r>
          </w:p>
        </w:tc>
      </w:tr>
      <w:tr>
        <w:tblPrEx>
          <w:tblW w:w="0" w:type="auto"/>
          <w:tblInd w:w="42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2017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20.4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12.0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6.9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60.7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80.4 </w:t>
            </w:r>
          </w:p>
        </w:tc>
        <w:tc>
          <w:tcPr>
            <w:tcW w:w="10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12.6 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MsoPlainText"/>
              <w:ind w:firstLine="420" w:firstLineChars="20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8.1 </w:t>
            </w:r>
          </w:p>
        </w:tc>
      </w:tr>
    </w:tbl>
    <w:p>
      <w:pPr>
        <w:pStyle w:val="MsoPlainText"/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在我国成年数字化阅读方式接触者中，</w:t>
      </w:r>
      <w:r>
        <w:rPr>
          <w:rFonts w:ascii="Times New Roman" w:eastAsia="Times New Roman" w:hAnsi="Times New Roman" w:cs="Times New Roman"/>
          <w:kern w:val="0"/>
          <w:szCs w:val="21"/>
        </w:rPr>
        <w:t>49</w:t>
      </w:r>
      <w:r>
        <w:rPr>
          <w:rFonts w:ascii="宋体" w:eastAsia="宋体" w:hAnsi="宋体" w:cs="宋体"/>
          <w:kern w:val="0"/>
          <w:szCs w:val="21"/>
        </w:rPr>
        <w:t>周岁以下中青年群体是主要人群，其中，</w:t>
      </w:r>
      <w:r>
        <w:rPr>
          <w:rFonts w:ascii="Times New Roman" w:eastAsia="Times New Roman" w:hAnsi="Times New Roman" w:cs="Times New Roman"/>
          <w:kern w:val="0"/>
          <w:szCs w:val="21"/>
        </w:rPr>
        <w:t>18-29</w:t>
      </w:r>
      <w:r>
        <w:rPr>
          <w:rFonts w:ascii="宋体" w:eastAsia="宋体" w:hAnsi="宋体" w:cs="宋体"/>
          <w:kern w:val="0"/>
          <w:szCs w:val="21"/>
        </w:rPr>
        <w:t>周岁人群占</w:t>
      </w:r>
      <w:r>
        <w:rPr>
          <w:rFonts w:ascii="Times New Roman" w:eastAsia="Times New Roman" w:hAnsi="Times New Roman" w:cs="Times New Roman"/>
          <w:kern w:val="0"/>
          <w:szCs w:val="21"/>
        </w:rPr>
        <w:t>34.6%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30-39</w:t>
      </w:r>
      <w:r>
        <w:rPr>
          <w:rFonts w:ascii="宋体" w:eastAsia="宋体" w:hAnsi="宋体" w:cs="宋体"/>
          <w:kern w:val="0"/>
          <w:szCs w:val="21"/>
        </w:rPr>
        <w:t>周岁人群占</w:t>
      </w:r>
      <w:r>
        <w:rPr>
          <w:rFonts w:ascii="Times New Roman" w:eastAsia="Times New Roman" w:hAnsi="Times New Roman" w:cs="Times New Roman"/>
          <w:kern w:val="0"/>
          <w:szCs w:val="21"/>
        </w:rPr>
        <w:t>26.1%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40-49</w:t>
      </w:r>
      <w:r>
        <w:rPr>
          <w:rFonts w:ascii="宋体" w:eastAsia="宋体" w:hAnsi="宋体" w:cs="宋体"/>
          <w:kern w:val="0"/>
          <w:szCs w:val="21"/>
        </w:rPr>
        <w:t>周岁人群占</w:t>
      </w:r>
      <w:r>
        <w:rPr>
          <w:rFonts w:ascii="Times New Roman" w:eastAsia="Times New Roman" w:hAnsi="Times New Roman" w:cs="Times New Roman"/>
          <w:kern w:val="0"/>
          <w:szCs w:val="21"/>
        </w:rPr>
        <w:t>24.2%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Cs w:val="21"/>
        </w:rPr>
        <w:t>50-59</w:t>
      </w:r>
      <w:r>
        <w:rPr>
          <w:rFonts w:ascii="宋体" w:eastAsia="宋体" w:hAnsi="宋体" w:cs="宋体"/>
          <w:kern w:val="0"/>
          <w:szCs w:val="21"/>
        </w:rPr>
        <w:t>周岁人群仅占</w:t>
      </w:r>
      <w:r>
        <w:rPr>
          <w:rFonts w:ascii="Times New Roman" w:eastAsia="Times New Roman" w:hAnsi="Times New Roman" w:cs="Times New Roman"/>
          <w:kern w:val="0"/>
          <w:szCs w:val="21"/>
        </w:rPr>
        <w:t>10.6%</w:t>
      </w:r>
      <w:r>
        <w:rPr>
          <w:rFonts w:ascii="宋体" w:eastAsia="宋体" w:hAnsi="宋体" w:cs="宋体"/>
          <w:kern w:val="0"/>
          <w:szCs w:val="21"/>
        </w:rPr>
        <w:t>。</w:t>
      </w:r>
    </w:p>
    <w:p>
      <w:pPr>
        <w:pStyle w:val="MsoPlainText"/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（资料来源：《中国青年报》</w:t>
      </w:r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宋体" w:eastAsia="宋体" w:hAnsi="宋体" w:cs="宋体"/>
          <w:kern w:val="0"/>
          <w:szCs w:val="21"/>
        </w:rPr>
        <w:t>日）</w:t>
      </w:r>
    </w:p>
    <w:p>
      <w:pPr>
        <w:pStyle w:val="MsoPlainText"/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【书香安徽】安徽文明网中安新闻客户端讯：“全民阅读知识电视大奖赛”，“中华经典诵读电视大奖赛”，“书香家庭、亲子悦读”……世界读书日到来之际，“书香安徽”全民阅读活动又如约而至。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宋体" w:eastAsia="宋体" w:hAnsi="宋体" w:cs="宋体"/>
          <w:kern w:val="0"/>
          <w:szCs w:val="21"/>
        </w:rPr>
        <w:t>日，记者从省新闻出版局广电局获悉，第五届“书香安徽”全民阅读活动启动仪式将于</w:t>
      </w:r>
      <w:r>
        <w:rPr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日在滁州全椒县举行，按照长年化、常态化、长效化的要求，全年活动不间断，每月活动有亮点，通过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个系列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宋体" w:eastAsia="宋体" w:hAnsi="宋体" w:cs="宋体"/>
          <w:kern w:val="0"/>
          <w:szCs w:val="21"/>
        </w:rPr>
        <w:t>项重点活动，把全民阅读活动持续引向深入。</w:t>
      </w:r>
    </w:p>
    <w:p>
      <w:pPr>
        <w:pStyle w:val="MsoPlainText"/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【各抒己见】</w:t>
      </w:r>
    </w:p>
    <w:p>
      <w:pPr>
        <w:pStyle w:val="MsoPlainText"/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中国图书馆学会副理事长陈力：我以为，“碎片化阅读”也是一种有益的阅读方式。</w:t>
      </w:r>
      <w:r>
        <w:rPr>
          <w:rFonts w:ascii="宋体" w:eastAsia="宋体" w:hAnsi="宋体" w:cs="宋体"/>
          <w:kern w:val="0"/>
          <w:szCs w:val="21"/>
          <w:u w:val="single"/>
        </w:rPr>
        <w:t>有谁听说《诗经》三百篇、《唐诗三百首》是一口气读完的？我们在读一首诗、一首词、一篇文章的时候难道不是在进行“碎片化阅读”？</w:t>
      </w:r>
      <w:r>
        <w:rPr>
          <w:rFonts w:ascii="宋体" w:eastAsia="宋体" w:hAnsi="宋体" w:cs="宋体" w:hint="eastAsia"/>
          <w:b/>
          <w:bCs/>
          <w:kern w:val="0"/>
          <w:sz w:val="28"/>
          <w:szCs w:val="28"/>
          <w:u w:val="single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</w:t>
      </w:r>
      <w:r>
        <w:rPr>
          <w:rFonts w:ascii="宋体" w:eastAsia="宋体" w:hAnsi="宋体" w:cs="宋体"/>
          <w:kern w:val="0"/>
          <w:szCs w:val="21"/>
        </w:rPr>
        <w:t>重要的不是阅读的形式和工具，而是阅读与否和阅读的内容。</w:t>
      </w:r>
    </w:p>
    <w:p>
      <w:pPr>
        <w:pStyle w:val="MsoPlainText"/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国民阅读研究与促进中心主任徐升国：数字阅读主要载体手机屏幕小，相对而言很难进行深度、长篇的阅读。综合起来看，纸质书能提供系统的、体系化深度阅读，目前并没有好的数字阅读载体可以实现替代。</w:t>
      </w:r>
    </w:p>
    <w:p>
      <w:pPr>
        <w:pStyle w:val="MsoPlainText"/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复旦大学中文系教授严锋：数字阅读时代整体来看，阅读的时间是增加的，只是媒介变了。电子阅读不仅在量上迅速扩展，在质上同样是提高的，它走出了过去传统、封闭的阅读空间，人更容易接触到关于书的推荐信息，专家荐书、社交媒体荐书也都开始成为日常。电子阅读使得人在不同阅读材料、对象间穿梭跳跃，完全打破了书的物理形态的局限。</w:t>
      </w:r>
    </w:p>
    <w:p>
      <w:pPr>
        <w:pStyle w:val="MsoPlainText"/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人民大学新授郭英剑：数字化阅读，更多改变的是人们的阅读方式而不是阅读内容，所以，我认为以“深阅读”和“浅阅读”来划分传统阅读方式与数化阅读方式是不准确的；而且，我也并不认为数字化阅读一定会导致肤浅化。阅读是否肤浅化，既取决于阅读者是否愿意思考以及思考的深度，也取决于作品本身是否能够引人深思，即作品本身是否肤浅。换句话说，不能用媒介载体的不同而只能根据作品的内容去界定阅读的“深”和“浅”。</w:t>
      </w:r>
    </w:p>
    <w:p>
      <w:pPr>
        <w:pStyle w:val="MsoPlainText"/>
        <w:numPr>
          <w:ilvl w:val="0"/>
          <w:numId w:val="4"/>
        </w:numPr>
        <w:ind w:firstLine="420" w:firstLineChars="200"/>
        <w:jc w:val="left"/>
        <w:textAlignment w:val="center"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请任意选择“各抒己见”一栏中两位的观点予以概括。</w:t>
      </w:r>
      <w:r>
        <w:rPr>
          <w:rFonts w:ascii="Times New Roman" w:eastAsia="Times New Roman" w:hAnsi="Times New Roman" w:cs="Times New Roman"/>
          <w:kern w:val="0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</w:rPr>
        <w:t>（4分）</w:t>
      </w:r>
    </w:p>
    <w:p>
      <w:pPr>
        <w:pStyle w:val="MsoPlainText"/>
        <w:ind w:firstLine="480" w:firstLineChars="200"/>
        <w:jc w:val="left"/>
        <w:textAlignment w:val="center"/>
        <w:rPr>
          <w:rFonts w:ascii="Times New Roman" w:eastAsia="宋体" w:hAnsi="Times New Roman" w:cs="Times New Roman"/>
          <w:kern w:val="0"/>
          <w:sz w:val="24"/>
        </w:rPr>
      </w:pPr>
    </w:p>
    <w:p>
      <w:pPr>
        <w:pStyle w:val="MsoPlainText"/>
        <w:ind w:firstLine="420" w:firstLineChars="200"/>
        <w:jc w:val="left"/>
        <w:textAlignment w:val="center"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宋体" w:eastAsia="宋体" w:hAnsi="宋体" w:cs="宋体" w:hint="eastAsia"/>
          <w:kern w:val="0"/>
          <w:szCs w:val="21"/>
        </w:rPr>
        <w:t>(2)</w:t>
      </w:r>
      <w:r>
        <w:rPr>
          <w:rFonts w:ascii="宋体" w:eastAsia="宋体" w:hAnsi="宋体" w:cs="宋体"/>
          <w:kern w:val="0"/>
          <w:szCs w:val="21"/>
        </w:rPr>
        <w:t>请在“各抒己见”一栏第一段的</w:t>
      </w:r>
      <w:r>
        <w:rPr>
          <w:rFonts w:ascii="宋体" w:eastAsia="宋体" w:hAnsi="宋体" w:cs="宋体" w:hint="eastAsia"/>
          <w:b/>
          <w:bCs/>
          <w:kern w:val="0"/>
          <w:sz w:val="22"/>
          <w:szCs w:val="22"/>
        </w:rPr>
        <w:t>A</w:t>
      </w:r>
      <w:r>
        <w:rPr>
          <w:rFonts w:ascii="宋体" w:eastAsia="宋体" w:hAnsi="宋体" w:cs="宋体"/>
          <w:kern w:val="0"/>
          <w:szCs w:val="21"/>
        </w:rPr>
        <w:t>处仿照上文句式为本段再补充一个事实论据。</w:t>
      </w:r>
      <w:r>
        <w:rPr>
          <w:rFonts w:ascii="Times New Roman" w:eastAsia="Times New Roman" w:hAnsi="Times New Roman" w:cs="Times New Roman"/>
          <w:kern w:val="0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</w:rPr>
        <w:t>（2分）</w:t>
      </w:r>
    </w:p>
    <w:p>
      <w:pPr>
        <w:pStyle w:val="MsoPlainText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（3）</w:t>
      </w:r>
      <w:r>
        <w:rPr>
          <w:rFonts w:ascii="宋体" w:eastAsia="宋体" w:hAnsi="宋体" w:cs="宋体"/>
          <w:kern w:val="0"/>
          <w:szCs w:val="21"/>
        </w:rPr>
        <w:t>数字化阅读会取代纸质阅读吗？请根据文本内容和自身阅读经历谈谈你的看法。</w:t>
      </w:r>
      <w:r>
        <w:rPr>
          <w:rFonts w:ascii="宋体" w:eastAsia="宋体" w:hAnsi="宋体" w:cs="宋体" w:hint="eastAsia"/>
          <w:kern w:val="0"/>
          <w:szCs w:val="21"/>
        </w:rPr>
        <w:t>（4分）</w:t>
      </w:r>
    </w:p>
    <w:p>
      <w:pPr>
        <w:pStyle w:val="MsoPlainText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3、下列关于文学常识、文化常识的表述，不正确的一项是（　　）</w:t>
      </w:r>
    </w:p>
    <w:p>
      <w:pPr>
        <w:pStyle w:val="MsoPlainText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杜甫，唐代诗人，自号少陵野老，被后人称为“诗圣”，其诗被称为“诗史”。</w:t>
      </w:r>
    </w:p>
    <w:p>
      <w:pPr>
        <w:pStyle w:val="MsoPlainText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B. 《朝花夕拾》是鲁迅的小说集，其中《阿长与＜山海经＞》记述了鲁迅儿时与长妈妈相处的情景。</w:t>
      </w:r>
    </w:p>
    <w:p>
      <w:pPr>
        <w:pStyle w:val="MsoPlainText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C. “无丝竹之乱耳”中的“丝”指弦乐器，“竹”指管乐器，“丝竹”泛指音乐。</w:t>
      </w:r>
    </w:p>
    <w:p>
      <w:pPr>
        <w:pStyle w:val="MsoPlainText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D. 生活中，我们常用到一些尊称和谦称。如：谦称自己“鄙人”、“不才”等；而“令尊”、“令堂”则是对对方父母的尊称。</w:t>
      </w:r>
    </w:p>
    <w:p>
      <w:pPr>
        <w:pStyle w:val="MsoPlainText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pStyle w:val="MsoPlainText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pStyle w:val="MsoPlainText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二、阅读（40分）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（一）晨趣（季羡林）(18分)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①一抬头，眼前一片金光：朝阳正跳跌在书架顶上玻璃盒内日本玩偶藤娘身上，一身和服，花团锦簇，手里拿着淡紫色的藤萝花，都熠熠发光，而且闪烁不定。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②我开始工作的时候，窗外暗夜正在向前走动。不知怎样一来，暗夜已逝，旭日东升。这阳光是从哪里流进来的呢?窗外一棵高大的梧桐树，枝叶繁茂，仿佛张开了一张绿色的网。再远一点，在湖边上是成排的垂柳。所有这一些都不利于阳光的穿透。然而阳光确实流进来了，就流在藤娘身上。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③然而，一转瞬间，阳光忽然又不见了，藤娘身上，一片阴影。窗外，在梧桐树和垂柳的缝隙里，一块块蓝色的天空，成群的鸽子正盘旋飞翔在这样的天空里，黑影在蔚蓝上面画上了弧线。倒影落在湖中清晰可见，好像比天空里的更富有神韵，宛如镜花水月。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④朝阳越升越高，透过浓密的枝叶，一直照到我的头上。我心中一动，阳光好像有了生命，它启迪着什么，它暗示着什么。我忽然想到印度大诗人泰戈尔，每天早上对着初升的太阳，静坐沉思，幻想与天地同体，与宇宙合一。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⑤现在正是夏季，浓绿扑人眉宇，鸽影在天，湖光如镜。多少年来，当然都是这个样子。为什么过去我竟视而不见呢?今天，藤娘身上的一点闪光，仿佛照透了我的心，让我抬起头来，以崭新的眼光，来衡量一切，眼前的东西既熟悉，又陌生，我仿佛搬到了一个新的地方，把我好奇的童心一下子都引退起来了。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⑥窗外太阳升得更高了。梧桐树椭圆的叶子和垂柳的尖长的叶子，交织在一起，椭圆与细长相映成趣。最上一层阳光照在上面，一片嫩黄；下一层则处在背阴处，一片黑绿。远处的塔影屹立不动。天空里的鸽影仍然在画着或长或短、或近或远的弧线。再把眼光收回来，则看到里面窗台上摆着的几盆君子兰，深绿肥大的叶子，给我心中增添了绿色的力量。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⑦多么可爱的清晨，多么宁静的清晨！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⑧此时我怡然自得，其乐陶陶。我真觉得，人生毕竟是非常可爱的，大地毕竟是非常可爱的。我有点不知老之已至了。我这个从来不写诗的人心中似乎也有了一点诗意。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⑨此身合是诗人来?鸽影湖光入目明。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⑩我好像真正成为一个诗人了。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4、请结合文章内容，找出作者心理变化的句子，完成填空。(4分)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  <w:u w:val="single"/>
        </w:rPr>
      </w:pPr>
      <w:r>
        <w:rPr>
          <w:rFonts w:ascii="宋体" w:cs="宋体" w:hint="eastAsia"/>
          <w:kern w:val="0"/>
          <w:szCs w:val="21"/>
        </w:rPr>
        <w:t>阳光给“我”启迪、暗示→①</w:t>
      </w:r>
      <w:r>
        <w:rPr>
          <w:rFonts w:ascii="宋体" w:cs="宋体" w:hint="eastAsia"/>
          <w:kern w:val="0"/>
          <w:szCs w:val="21"/>
          <w:u w:val="single"/>
        </w:rPr>
        <w:t xml:space="preserve">                        </w:t>
      </w:r>
      <w:r>
        <w:rPr>
          <w:rFonts w:ascii="宋体" w:cs="宋体" w:hint="eastAsia"/>
          <w:kern w:val="0"/>
          <w:szCs w:val="21"/>
        </w:rPr>
        <w:t>→给“我”心中增添绿色的力量→②</w:t>
      </w:r>
      <w:r>
        <w:rPr>
          <w:rFonts w:ascii="宋体" w:cs="宋体" w:hint="eastAsia"/>
          <w:kern w:val="0"/>
          <w:szCs w:val="21"/>
          <w:u w:val="single"/>
        </w:rPr>
        <w:t xml:space="preserve">                                </w:t>
      </w:r>
    </w:p>
    <w:p>
      <w:pPr>
        <w:widowControl w:val="0"/>
        <w:numPr>
          <w:ilvl w:val="0"/>
          <w:numId w:val="5"/>
        </w:num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结合全文内容，说说“晨趣”的“趣”表现在哪些方面。(4分)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6、按要求赏析下列句子。(4分)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(1)窗外一棵高大的梧桐树，枝叶繁茂，仿佛张开了一张绿色的网。(从修辞的角度赏析句子)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(2)然而阳光确实流进来了，就流在藤娘身上……(分析加点词语的表达效果)</w:t>
      </w: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7、“人生毕竟是非常可爱的，大地毕竟是非常可爱的。我有点不知老之已至了。我这个从来不写诗的人心中似乎也有了一点诗意。”请结合全文说说你对这几句话的理解，并联系实际谈谈我们应该怎样对待生活。(6分)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ascii="Times New Roman" w:hAnsi="Times New Roman" w:cs="Times New Roman"/>
          <w:kern w:val="0"/>
          <w:szCs w:val="21"/>
          <w:u w:val="single"/>
        </w:rPr>
        <w:pict>
          <v:shape id="_x0000_i1026" type="#_x0000_t75" style="width:20pt;height:20pt">
            <v:imagedata r:id="rId7" o:title=""/>
            <o:lock v:ext="edit" aspectratio="t"/>
          </v:shape>
        </w:pic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（二）阅读《五猖会》片段，回答问题。 （10分）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①因为东关离城远，大清早大家就起来。昨夜预定好的三道明瓦窗的大船，已经泊在河埠头，船椅，饭菜，茶炊，点心盒子，都在陆续搬下去了。我笑着跳着，催他们要搬得快。忽然，工人的脸色很谨肃了，我知道有些蹊跷，四面一看，父亲就站在我背后。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②“去拿你的书来。”他慢慢地说。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③这所谓“书”，是指我开蒙时候所读的《鉴略》，因为我再没有第二本了。我们那里上学的岁数是多拣单数的，所以这使我记住我其时是七岁。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④我忐忑着，拿了书来了。他使我同坐在堂中央的桌子前，教我一句一句地读下去。我担着心，一句一句地读下去。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⑤两句一行，大约读了二三十行罢，他说：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⑥“给我读熟。背不出，就不准去看会。”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⑦他说完，便站起来，走进房里去了。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⑧我似乎从头上浇了一盆冷水。但是，有什么法子呢？自然是读着，读着，强记着， 而且要背出来。 “粤自盘古，生于太荒， 首出御世，肇开混茫。…… ”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⑨就是这样的书，我现在只记得前四句，别的都忘却了；那时所强记的二三十行，自然也一齐忘却在里面了。记得那时听人说，读《鉴略》比读《千字文》，《百家姓》有用得多，因为可以知道从古到今的大概。知道从古到今的大概，那当然是很好的，然而我一字也不懂。“粵自盘古”就是“粤自盘古”，读下去，记住它，“粤自盘古”呵！“生于太荒”呵！……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⑩应用的物件已经搬完，家中由忙乱转成静肃了。朝阳照着西墙，天气很晴朗。母亲，工人，长妈妈即阿长，都无法营救，只默默地静候着我读熟，而且背出来。在百静中，我似乎头里要伸出许多铁钳，将什么“生于太荒”之流夹住；也听到自己急急诵读的声音发着抖，仿佛深秋的蟋蟀，在夜中鸣叫似的。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⑪他们都等候着；太阳也升得更高了。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</w:p>
    <w:p>
      <w:pPr>
        <w:widowControl w:val="0"/>
        <w:numPr>
          <w:ilvl w:val="0"/>
          <w:numId w:val="6"/>
        </w:num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请概括《五猖会》的主要思想内容。（3分）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</w:p>
    <w:p>
      <w:pPr>
        <w:widowControl w:val="0"/>
        <w:numPr>
          <w:ilvl w:val="0"/>
          <w:numId w:val="6"/>
        </w:num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选文开头写家人为看五猖会做准备的忙碌场景和结尾部分“家中由忙乱转成静肃了”形成鲜明的对比，这样写的作用是什么？（2分）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10、从选文中可以看出父亲是一个什么样的人？读后你有什么感受？（5分）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（三）文言文（12分）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【甲】  陈太丘与友期行，期日中，过中不至，太丘舍去，去后乃至。元方时年七岁，门外戏。客问元方：“尊君在不？”答曰：“待君久不至，已去。”友人便怒：“非人哉！与人期行，相委而去。”元方曰：“君与家君期日中。日中不至，则是无信；对子骂父，则是无礼。”友人惭，下车引之，元方入门不顾。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【乙】 田子为相①  ，三年归休，得金百镒</w:t>
      </w:r>
      <w:r>
        <w:rPr>
          <w:rFonts w:ascii="宋体" w:cs="宋体" w:hint="eastAsia"/>
          <w:kern w:val="0"/>
          <w:szCs w:val="21"/>
          <w:lang w:eastAsia="ja-JP"/>
        </w:rPr>
        <w:t>②</w:t>
      </w:r>
      <w:r>
        <w:rPr>
          <w:rFonts w:ascii="Times New Roman" w:hAnsi="Times New Roman" w:cs="Times New Roman"/>
          <w:kern w:val="0"/>
          <w:szCs w:val="21"/>
        </w:rPr>
        <w:t>奉其母。母曰：“子安</w:t>
      </w:r>
      <w:r>
        <w:rPr>
          <w:rFonts w:ascii="宋体" w:cs="宋体" w:hint="eastAsia"/>
          <w:kern w:val="0"/>
          <w:szCs w:val="21"/>
          <w:lang w:eastAsia="ja-JP"/>
        </w:rPr>
        <w:t>③</w:t>
      </w:r>
      <w:r>
        <w:rPr>
          <w:rFonts w:ascii="Times New Roman" w:hAnsi="Times New Roman" w:cs="Times New Roman"/>
          <w:kern w:val="0"/>
          <w:szCs w:val="21"/>
        </w:rPr>
        <w:t>得此金？”对曰：“所受俸禄也。”母曰：“为相三年不食乎？治官如此，非吾所欲也。孝子之事亲也，尽力至诚，不义之物，不入于馆</w:t>
      </w:r>
      <w:r>
        <w:rPr>
          <w:rFonts w:ascii="宋体" w:cs="宋体" w:hint="eastAsia"/>
          <w:kern w:val="0"/>
          <w:szCs w:val="21"/>
          <w:lang w:eastAsia="ja-JP"/>
        </w:rPr>
        <w:t>④</w:t>
      </w:r>
      <w:r>
        <w:rPr>
          <w:rFonts w:ascii="Times New Roman" w:hAnsi="Times New Roman" w:cs="Times New Roman"/>
          <w:kern w:val="0"/>
          <w:szCs w:val="21"/>
        </w:rPr>
        <w:t>。为人臣不忠，是为人子不孝也。子其去</w:t>
      </w:r>
      <w:r>
        <w:rPr>
          <w:rFonts w:ascii="宋体" w:cs="宋体" w:hint="eastAsia"/>
          <w:kern w:val="0"/>
          <w:szCs w:val="21"/>
          <w:lang w:eastAsia="ja-JP"/>
        </w:rPr>
        <w:t>⑤</w:t>
      </w:r>
      <w:r>
        <w:rPr>
          <w:rFonts w:ascii="Times New Roman" w:hAnsi="Times New Roman" w:cs="Times New Roman"/>
          <w:kern w:val="0"/>
          <w:szCs w:val="21"/>
        </w:rPr>
        <w:t>之。”田子愧惭走出，造</w:t>
      </w:r>
      <w:r>
        <w:rPr>
          <w:rFonts w:ascii="宋体" w:cs="宋体" w:hint="eastAsia"/>
          <w:kern w:val="0"/>
          <w:szCs w:val="21"/>
          <w:lang w:eastAsia="ja-JP"/>
        </w:rPr>
        <w:t>⑥</w:t>
      </w:r>
      <w:r>
        <w:rPr>
          <w:rFonts w:ascii="Times New Roman" w:hAnsi="Times New Roman" w:cs="Times New Roman"/>
          <w:kern w:val="0"/>
          <w:szCs w:val="21"/>
        </w:rPr>
        <w:t>朝还金，退请就狱</w:t>
      </w:r>
      <w:r>
        <w:rPr>
          <w:rFonts w:ascii="宋体" w:cs="宋体" w:hint="eastAsia"/>
          <w:kern w:val="0"/>
          <w:szCs w:val="21"/>
          <w:lang w:eastAsia="ja-JP"/>
        </w:rPr>
        <w:t>⑦</w:t>
      </w:r>
      <w:r>
        <w:rPr>
          <w:rFonts w:ascii="Times New Roman" w:hAnsi="Times New Roman" w:cs="Times New Roman"/>
          <w:kern w:val="0"/>
          <w:szCs w:val="21"/>
        </w:rPr>
        <w:t>。王贤</w:t>
      </w:r>
      <w:r>
        <w:rPr>
          <w:rFonts w:ascii="宋体" w:cs="宋体" w:hint="eastAsia"/>
          <w:kern w:val="0"/>
          <w:szCs w:val="21"/>
          <w:lang w:eastAsia="ja-JP"/>
        </w:rPr>
        <w:t>⑧</w:t>
      </w:r>
      <w:r>
        <w:rPr>
          <w:rFonts w:ascii="Times New Roman" w:hAnsi="Times New Roman" w:cs="Times New Roman"/>
          <w:kern w:val="0"/>
          <w:szCs w:val="21"/>
        </w:rPr>
        <w:t>其母，说</w:t>
      </w:r>
      <w:r>
        <w:rPr>
          <w:rFonts w:ascii="宋体" w:cs="宋体" w:hint="eastAsia"/>
          <w:kern w:val="0"/>
          <w:szCs w:val="21"/>
          <w:lang w:eastAsia="ja-JP"/>
        </w:rPr>
        <w:t>⑨</w:t>
      </w:r>
      <w:r>
        <w:rPr>
          <w:rFonts w:ascii="Times New Roman" w:hAnsi="Times New Roman" w:cs="Times New Roman"/>
          <w:kern w:val="0"/>
          <w:szCs w:val="21"/>
        </w:rPr>
        <w:t>其义，即舍田子罪，令复为相，以金赐其母。《诗》曰：“宜尔子孙承承</w:t>
      </w:r>
      <w:r>
        <w:rPr>
          <w:rFonts w:ascii="宋体" w:cs="宋体" w:hint="eastAsia"/>
          <w:kern w:val="0"/>
          <w:szCs w:val="21"/>
          <w:lang w:eastAsia="ja-JP"/>
        </w:rPr>
        <w:t>⑩</w:t>
      </w:r>
      <w:r>
        <w:rPr>
          <w:rFonts w:ascii="Times New Roman" w:hAnsi="Times New Roman" w:cs="Times New Roman"/>
          <w:kern w:val="0"/>
          <w:szCs w:val="21"/>
        </w:rPr>
        <w:t xml:space="preserve">兮。”言贤母使子贤也。 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【注】</w:t>
      </w:r>
      <w:r>
        <w:rPr>
          <w:rFonts w:ascii="Times New Roman" w:hAnsi="Times New Roman" w:cs="Times New Roman" w:hint="eastAsia"/>
          <w:kern w:val="0"/>
          <w:szCs w:val="21"/>
        </w:rPr>
        <w:t>①</w:t>
      </w:r>
      <w:r>
        <w:rPr>
          <w:rFonts w:ascii="Times New Roman" w:hAnsi="Times New Roman" w:cs="Times New Roman"/>
          <w:kern w:val="0"/>
          <w:szCs w:val="21"/>
        </w:rPr>
        <w:t>相：宰相。</w:t>
      </w:r>
      <w:r>
        <w:rPr>
          <w:rFonts w:ascii="宋体" w:cs="宋体" w:hint="eastAsia"/>
          <w:kern w:val="0"/>
          <w:szCs w:val="21"/>
          <w:lang w:eastAsia="ja-JP"/>
        </w:rPr>
        <w:t>②</w:t>
      </w:r>
      <w:r>
        <w:rPr>
          <w:rFonts w:ascii="Times New Roman" w:hAnsi="Times New Roman" w:cs="Times New Roman"/>
          <w:kern w:val="0"/>
          <w:szCs w:val="21"/>
        </w:rPr>
        <w:t>镒：二十两。</w:t>
      </w:r>
      <w:r>
        <w:rPr>
          <w:rFonts w:ascii="宋体" w:cs="宋体" w:hint="eastAsia"/>
          <w:kern w:val="0"/>
          <w:szCs w:val="21"/>
          <w:lang w:eastAsia="ja-JP"/>
        </w:rPr>
        <w:t>③</w:t>
      </w:r>
      <w:r>
        <w:rPr>
          <w:rFonts w:ascii="Times New Roman" w:hAnsi="Times New Roman" w:cs="Times New Roman"/>
          <w:kern w:val="0"/>
          <w:szCs w:val="21"/>
        </w:rPr>
        <w:t>安：怎么。</w:t>
      </w:r>
      <w:r>
        <w:rPr>
          <w:rFonts w:ascii="宋体" w:cs="宋体" w:hint="eastAsia"/>
          <w:kern w:val="0"/>
          <w:szCs w:val="21"/>
          <w:lang w:eastAsia="ja-JP"/>
        </w:rPr>
        <w:t>④</w:t>
      </w:r>
      <w:r>
        <w:rPr>
          <w:rFonts w:ascii="Times New Roman" w:hAnsi="Times New Roman" w:cs="Times New Roman"/>
          <w:kern w:val="0"/>
          <w:szCs w:val="21"/>
        </w:rPr>
        <w:t>馆：这里指家。</w:t>
      </w:r>
      <w:r>
        <w:rPr>
          <w:rFonts w:ascii="宋体" w:cs="宋体" w:hint="eastAsia"/>
          <w:kern w:val="0"/>
          <w:szCs w:val="21"/>
        </w:rPr>
        <w:t>⑤</w:t>
      </w:r>
      <w:r>
        <w:rPr>
          <w:rFonts w:ascii="Times New Roman" w:hAnsi="Times New Roman" w:cs="Times New Roman"/>
          <w:kern w:val="0"/>
          <w:szCs w:val="21"/>
        </w:rPr>
        <w:t>去：送还。</w:t>
      </w:r>
      <w:r>
        <w:rPr>
          <w:rFonts w:ascii="宋体" w:cs="宋体" w:hint="eastAsia"/>
          <w:kern w:val="0"/>
          <w:szCs w:val="21"/>
          <w:lang w:eastAsia="ja-JP"/>
        </w:rPr>
        <w:t>⑥</w:t>
      </w:r>
      <w:r>
        <w:rPr>
          <w:rFonts w:ascii="Times New Roman" w:hAnsi="Times New Roman" w:cs="Times New Roman"/>
          <w:kern w:val="0"/>
          <w:szCs w:val="21"/>
        </w:rPr>
        <w:t>造：到……去。</w:t>
      </w:r>
      <w:r>
        <w:rPr>
          <w:rFonts w:ascii="宋体" w:cs="宋体" w:hint="eastAsia"/>
          <w:kern w:val="0"/>
          <w:szCs w:val="21"/>
          <w:lang w:eastAsia="ja-JP"/>
        </w:rPr>
        <w:t>⑦</w:t>
      </w:r>
      <w:r>
        <w:rPr>
          <w:rFonts w:ascii="Times New Roman" w:hAnsi="Times New Roman" w:cs="Times New Roman"/>
          <w:kern w:val="0"/>
          <w:szCs w:val="21"/>
        </w:rPr>
        <w:t>就狱：接受处分。</w:t>
      </w:r>
      <w:r>
        <w:rPr>
          <w:rFonts w:ascii="宋体" w:cs="宋体" w:hint="eastAsia"/>
          <w:kern w:val="0"/>
          <w:szCs w:val="21"/>
          <w:lang w:eastAsia="ja-JP"/>
        </w:rPr>
        <w:t>⑧</w:t>
      </w:r>
      <w:r>
        <w:rPr>
          <w:rFonts w:ascii="Times New Roman" w:hAnsi="Times New Roman" w:cs="Times New Roman"/>
          <w:kern w:val="0"/>
          <w:szCs w:val="21"/>
        </w:rPr>
        <w:t>贤：以……为贤。</w:t>
      </w:r>
      <w:r>
        <w:rPr>
          <w:rFonts w:ascii="宋体" w:cs="宋体" w:hint="eastAsia"/>
          <w:kern w:val="0"/>
          <w:szCs w:val="21"/>
          <w:lang w:eastAsia="ja-JP"/>
        </w:rPr>
        <w:t>⑨</w:t>
      </w:r>
      <w:r>
        <w:rPr>
          <w:rFonts w:ascii="Times New Roman" w:hAnsi="Times New Roman" w:cs="Times New Roman"/>
          <w:kern w:val="0"/>
          <w:szCs w:val="21"/>
        </w:rPr>
        <w:t>说：通“悦”，为……感到高兴。</w:t>
      </w:r>
      <w:r>
        <w:rPr>
          <w:rFonts w:ascii="宋体" w:cs="宋体" w:hint="eastAsia"/>
          <w:kern w:val="0"/>
          <w:szCs w:val="21"/>
          <w:lang w:eastAsia="ja-JP"/>
        </w:rPr>
        <w:t>⑩</w:t>
      </w:r>
      <w:r>
        <w:rPr>
          <w:rFonts w:ascii="Times New Roman" w:hAnsi="Times New Roman" w:cs="Times New Roman"/>
          <w:kern w:val="0"/>
          <w:szCs w:val="21"/>
        </w:rPr>
        <w:t>承承：谨慎小心。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11、</w:t>
      </w:r>
      <w:r>
        <w:rPr>
          <w:rFonts w:ascii="Times New Roman" w:hAnsi="Times New Roman" w:cs="Times New Roman"/>
          <w:kern w:val="0"/>
          <w:szCs w:val="21"/>
        </w:rPr>
        <w:t>解释下列</w:t>
      </w:r>
      <w:r>
        <w:rPr>
          <w:rFonts w:ascii="Times New Roman" w:hAnsi="Times New Roman" w:cs="Times New Roman" w:hint="eastAsia"/>
          <w:kern w:val="0"/>
          <w:szCs w:val="21"/>
        </w:rPr>
        <w:t>划线</w:t>
      </w:r>
      <w:r>
        <w:rPr>
          <w:rFonts w:ascii="Times New Roman" w:hAnsi="Times New Roman" w:cs="Times New Roman"/>
          <w:kern w:val="0"/>
          <w:szCs w:val="21"/>
        </w:rPr>
        <w:t>的</w:t>
      </w:r>
      <w:r>
        <w:rPr>
          <w:rFonts w:ascii="Times New Roman" w:hAnsi="Times New Roman" w:cs="Times New Roman" w:hint="eastAsia"/>
          <w:kern w:val="0"/>
          <w:szCs w:val="21"/>
        </w:rPr>
        <w:t>字</w:t>
      </w:r>
      <w:r>
        <w:rPr>
          <w:rFonts w:ascii="Times New Roman" w:hAnsi="Times New Roman" w:cs="Times New Roman"/>
          <w:kern w:val="0"/>
          <w:szCs w:val="21"/>
        </w:rPr>
        <w:t>。</w:t>
      </w:r>
      <w:r>
        <w:rPr>
          <w:rFonts w:ascii="Times New Roman" w:hAnsi="Times New Roman" w:cs="Times New Roman" w:hint="eastAsia"/>
          <w:kern w:val="0"/>
          <w:szCs w:val="21"/>
        </w:rPr>
        <w:t>（4分）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（1）</w:t>
      </w:r>
      <w:r>
        <w:rPr>
          <w:rFonts w:ascii="Times New Roman" w:hAnsi="Times New Roman" w:cs="Times New Roman"/>
          <w:kern w:val="0"/>
          <w:szCs w:val="21"/>
        </w:rPr>
        <w:t>陈太丘与友</w:t>
      </w:r>
      <w:r>
        <w:rPr>
          <w:rFonts w:ascii="Times New Roman" w:hAnsi="Times New Roman" w:cs="Times New Roman"/>
          <w:kern w:val="0"/>
          <w:szCs w:val="21"/>
          <w:u w:val="single"/>
        </w:rPr>
        <w:t>期行</w:t>
      </w:r>
      <w:r>
        <w:rPr>
          <w:rFonts w:ascii="Times New Roman" w:hAnsi="Times New Roman" w:cs="Times New Roman"/>
          <w:kern w:val="0"/>
          <w:szCs w:val="21"/>
        </w:rPr>
        <w:t>（   ）</w:t>
      </w:r>
      <w:r>
        <w:rPr>
          <w:rFonts w:ascii="Times New Roman" w:hAnsi="Times New Roman" w:cs="Times New Roman" w:hint="eastAsia"/>
          <w:kern w:val="0"/>
          <w:szCs w:val="21"/>
        </w:rPr>
        <w:t xml:space="preserve">             （2）</w:t>
      </w:r>
      <w:r>
        <w:rPr>
          <w:rFonts w:ascii="Times New Roman" w:hAnsi="Times New Roman" w:cs="Times New Roman"/>
          <w:kern w:val="0"/>
          <w:szCs w:val="21"/>
        </w:rPr>
        <w:t>下车</w:t>
      </w:r>
      <w:r>
        <w:rPr>
          <w:rFonts w:ascii="Times New Roman" w:hAnsi="Times New Roman" w:cs="Times New Roman"/>
          <w:kern w:val="0"/>
          <w:szCs w:val="21"/>
          <w:u w:val="single"/>
        </w:rPr>
        <w:t>引</w:t>
      </w:r>
      <w:r>
        <w:rPr>
          <w:rFonts w:ascii="Times New Roman" w:hAnsi="Times New Roman" w:cs="Times New Roman"/>
          <w:kern w:val="0"/>
          <w:szCs w:val="21"/>
        </w:rPr>
        <w:t>之（   ）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（3）</w:t>
      </w:r>
      <w:r>
        <w:rPr>
          <w:rFonts w:ascii="Times New Roman" w:hAnsi="Times New Roman" w:cs="Times New Roman"/>
          <w:kern w:val="0"/>
          <w:szCs w:val="21"/>
        </w:rPr>
        <w:t>三年</w:t>
      </w:r>
      <w:r>
        <w:rPr>
          <w:rFonts w:ascii="Times New Roman" w:hAnsi="Times New Roman" w:cs="Times New Roman"/>
          <w:kern w:val="0"/>
          <w:szCs w:val="21"/>
          <w:u w:val="single"/>
        </w:rPr>
        <w:t>归</w:t>
      </w:r>
      <w:r>
        <w:rPr>
          <w:rFonts w:ascii="Times New Roman" w:hAnsi="Times New Roman" w:cs="Times New Roman"/>
          <w:kern w:val="0"/>
          <w:szCs w:val="21"/>
        </w:rPr>
        <w:t>休（    ）</w:t>
      </w:r>
      <w:r>
        <w:rPr>
          <w:rFonts w:ascii="Times New Roman" w:hAnsi="Times New Roman" w:cs="Times New Roman" w:hint="eastAsia"/>
          <w:kern w:val="0"/>
          <w:szCs w:val="21"/>
        </w:rPr>
        <w:t xml:space="preserve">                   （4）</w:t>
      </w:r>
      <w:r>
        <w:rPr>
          <w:rFonts w:ascii="Times New Roman" w:hAnsi="Times New Roman" w:cs="Times New Roman"/>
          <w:kern w:val="0"/>
          <w:szCs w:val="21"/>
        </w:rPr>
        <w:t>非吾</w:t>
      </w:r>
      <w:r>
        <w:rPr>
          <w:rFonts w:ascii="Times New Roman" w:hAnsi="Times New Roman" w:cs="Times New Roman"/>
          <w:kern w:val="0"/>
          <w:szCs w:val="21"/>
          <w:u w:val="single"/>
        </w:rPr>
        <w:t>所欲</w:t>
      </w:r>
      <w:r>
        <w:rPr>
          <w:rFonts w:ascii="Times New Roman" w:hAnsi="Times New Roman" w:cs="Times New Roman"/>
          <w:kern w:val="0"/>
          <w:szCs w:val="21"/>
        </w:rPr>
        <w:t>也（    ）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12、</w:t>
      </w:r>
      <w:r>
        <w:rPr>
          <w:rFonts w:ascii="Times New Roman" w:hAnsi="Times New Roman" w:cs="Times New Roman"/>
          <w:kern w:val="0"/>
          <w:szCs w:val="21"/>
        </w:rPr>
        <w:t>翻译下列句子。</w:t>
      </w:r>
      <w:r>
        <w:rPr>
          <w:rFonts w:ascii="Times New Roman" w:hAnsi="Times New Roman" w:cs="Times New Roman" w:hint="eastAsia"/>
          <w:kern w:val="0"/>
          <w:szCs w:val="21"/>
        </w:rPr>
        <w:t>（4分）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（1）</w:t>
      </w:r>
      <w:r>
        <w:rPr>
          <w:rFonts w:ascii="Times New Roman" w:hAnsi="Times New Roman" w:cs="Times New Roman"/>
          <w:kern w:val="0"/>
          <w:szCs w:val="21"/>
        </w:rPr>
        <w:t>友人惭，下车引之，元方入门不顾。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（2）</w:t>
      </w:r>
      <w:r>
        <w:rPr>
          <w:rFonts w:ascii="Times New Roman" w:hAnsi="Times New Roman" w:cs="Times New Roman"/>
          <w:kern w:val="0"/>
          <w:szCs w:val="21"/>
        </w:rPr>
        <w:t>王贤其母，说其义</w:t>
      </w:r>
      <w:r>
        <w:rPr>
          <w:rFonts w:ascii="Times New Roman" w:hAnsi="Times New Roman" w:cs="Times New Roman" w:hint="eastAsia"/>
          <w:kern w:val="0"/>
          <w:szCs w:val="21"/>
        </w:rPr>
        <w:t>。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13、</w:t>
      </w:r>
      <w:r>
        <w:rPr>
          <w:rFonts w:ascii="Times New Roman" w:hAnsi="Times New Roman" w:cs="Times New Roman"/>
          <w:kern w:val="0"/>
          <w:szCs w:val="21"/>
        </w:rPr>
        <w:t>【甲】【乙】两文在为人处世方面分别说明了什么道理？</w:t>
      </w:r>
    </w:p>
    <w:p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</w:p>
    <w:p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三、</w:t>
      </w:r>
      <w:r>
        <w:rPr>
          <w:rFonts w:ascii="宋体" w:cs="宋体"/>
          <w:kern w:val="0"/>
          <w:szCs w:val="21"/>
        </w:rPr>
        <w:t>作文</w:t>
      </w:r>
      <w:r>
        <w:rPr>
          <w:rFonts w:ascii="宋体" w:cs="宋体" w:hint="eastAsia"/>
          <w:kern w:val="0"/>
          <w:szCs w:val="21"/>
        </w:rPr>
        <w:t>（40分）</w:t>
      </w:r>
    </w:p>
    <w:p>
      <w:pPr>
        <w:ind w:firstLine="420" w:firstLineChars="200"/>
        <w:textAlignment w:val="center"/>
        <w:rPr>
          <w:rFonts w:ascii="Times New Roman" w:eastAsia="Times New Roman" w:hAnsi="Times New Roman" w:cs="Times New Roman"/>
          <w:kern w:val="0"/>
          <w:szCs w:val="21"/>
        </w:rPr>
      </w:pPr>
      <w:r>
        <w:rPr>
          <w:rFonts w:ascii="宋体" w:cs="宋体"/>
          <w:kern w:val="0"/>
          <w:szCs w:val="21"/>
        </w:rPr>
        <w:t>题目一：秋天，就在这里</w:t>
      </w:r>
    </w:p>
    <w:p>
      <w:pPr>
        <w:ind w:left="420" w:firstLine="420" w:firstLineChars="20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cs="宋体"/>
          <w:kern w:val="0"/>
          <w:szCs w:val="21"/>
        </w:rPr>
        <w:t>题目二：秋天，让我想起……</w:t>
      </w:r>
    </w:p>
    <w:p>
      <w:pPr>
        <w:ind w:left="420"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 </w:t>
      </w:r>
      <w:r>
        <w:rPr>
          <w:rFonts w:ascii="宋体" w:cs="宋体"/>
          <w:kern w:val="0"/>
          <w:szCs w:val="21"/>
        </w:rPr>
        <w:t>要求：任选一个题目，写一篇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宋体" w:cs="宋体"/>
          <w:kern w:val="0"/>
          <w:szCs w:val="21"/>
        </w:rPr>
        <w:t>字以上的文章，要有真情实感，必须有景物描写；字迹工整，卷面整洁，不得涂改</w:t>
      </w:r>
      <w:r>
        <w:rPr>
          <w:rFonts w:ascii="宋体" w:cs="宋体" w:hint="eastAsia"/>
          <w:kern w:val="0"/>
          <w:szCs w:val="21"/>
        </w:rPr>
        <w:t>。</w:t>
      </w:r>
    </w:p>
    <w:p>
      <w:pPr>
        <w:spacing w:line="360" w:lineRule="auto"/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pStyle w:val="MsoPlainText"/>
        <w:spacing w:before="240" w:after="240"/>
        <w:ind w:firstLine="420" w:firstLineChars="200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rPr>
          <w:rFonts w:ascii="Times New Roman" w:hAnsi="Times New Roman" w:eastAsiaTheme="minorEastAsia" w:cs="Times New Roman"/>
          <w:kern w:val="0"/>
          <w:szCs w:val="21"/>
        </w:rPr>
      </w:pPr>
      <w:r>
        <w:rPr>
          <w:rFonts w:ascii="Times New Roman" w:hAnsi="Times New Roman" w:eastAsiaTheme="minorEastAsia" w:cs="Times New Roman"/>
          <w:kern w:val="0"/>
          <w:szCs w:val="21"/>
        </w:rPr>
        <w:br w:type="page"/>
      </w:r>
    </w:p>
    <w:p>
      <w:r>
        <w:rPr>
          <w:rFonts w:hint="eastAsia"/>
        </w:rPr>
        <w:t>七年级上答案</w:t>
      </w:r>
    </w:p>
    <w:p>
      <w:r>
        <w:rPr>
          <w:rFonts w:hint="eastAsia"/>
        </w:rPr>
        <w:t>一、</w:t>
      </w:r>
      <w:r>
        <w:rPr>
          <w:rFonts w:ascii="Times New Roman" w:eastAsia="Times New Roman" w:hAnsi="Times New Roman" w:cs="Times New Roman" w:hint="eastAsia"/>
          <w:kern w:val="0"/>
          <w:szCs w:val="21"/>
        </w:rPr>
        <w:t>1、</w:t>
      </w:r>
      <w:r>
        <w:rPr>
          <w:rFonts w:hint="eastAsia"/>
        </w:rPr>
        <w:t>（8分）</w:t>
      </w:r>
    </w:p>
    <w:p>
      <w:pPr>
        <w:numPr>
          <w:ilvl w:val="0"/>
          <w:numId w:val="7"/>
        </w:numPr>
      </w:pPr>
      <w:r>
        <w:rPr>
          <w:rFonts w:hint="eastAsia"/>
        </w:rPr>
        <w:t>水何澹澹，山岛竦峙（2）随君直到夜郎西（3）潮平两岸阔，风正一帆悬。海日生残夜，江春入旧年。（4）落花时节又逢君</w:t>
      </w:r>
    </w:p>
    <w:p>
      <w:pPr>
        <w:numPr>
          <w:ilvl w:val="0"/>
          <w:numId w:val="8"/>
        </w:numPr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Times New Roman" w:eastAsia="Times New Roman" w:hAnsi="Times New Roman" w:cs="Times New Roman" w:hint="eastAsia"/>
          <w:kern w:val="0"/>
          <w:szCs w:val="21"/>
        </w:rPr>
        <w:t>（10分）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）（任选两位概括）</w:t>
      </w:r>
      <w:r>
        <w:rPr>
          <w:rFonts w:ascii="宋体" w:eastAsia="宋体" w:hAnsi="宋体" w:cs="宋体" w:hint="eastAsia"/>
          <w:kern w:val="0"/>
          <w:szCs w:val="21"/>
        </w:rPr>
        <w:t>（4分）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陈力：碎片化阅读也是一种有益的方式。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徐升国：数字阅读不能实现系统的体系化的深度阅读。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严峰：电子阅读量大质优更自由。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郭英剑：不能用载体的不同而是根据作品内容去界定阅读的“深”和“浅”。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</w:rPr>
        <w:t>）（2分）</w:t>
      </w:r>
      <w:r>
        <w:rPr>
          <w:rFonts w:ascii="宋体" w:eastAsia="宋体" w:hAnsi="宋体" w:cs="宋体"/>
          <w:kern w:val="0"/>
          <w:szCs w:val="21"/>
        </w:rPr>
        <w:t>示例：我们在利用</w:t>
      </w:r>
      <w:r>
        <w:rPr>
          <w:rFonts w:ascii="宋体" w:eastAsia="宋体" w:hAnsi="宋体" w:cs="宋体" w:hint="eastAsia"/>
          <w:kern w:val="0"/>
          <w:szCs w:val="21"/>
        </w:rPr>
        <w:t>等车的</w:t>
      </w:r>
      <w:r>
        <w:rPr>
          <w:rFonts w:ascii="宋体" w:eastAsia="宋体" w:hAnsi="宋体" w:cs="宋体"/>
          <w:kern w:val="0"/>
          <w:szCs w:val="21"/>
        </w:rPr>
        <w:t>零星时间来阅读的时候，不就是在进行碎片化阅读？雷海为在送快递的空档阅读不就是碎片化阅读？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 w:hint="eastAsia"/>
          <w:kern w:val="0"/>
          <w:szCs w:val="21"/>
        </w:rPr>
        <w:t>（3）（4分）</w:t>
      </w:r>
      <w:r>
        <w:rPr>
          <w:rFonts w:ascii="宋体" w:eastAsia="宋体" w:hAnsi="宋体" w:cs="宋体"/>
          <w:kern w:val="0"/>
          <w:szCs w:val="21"/>
        </w:rPr>
        <w:t>示例一：我认为纸质阅读目前并不会被数字化阅读完全替代。纸质阅读具有一定的不可替代性，现在学校教材、合同、公文等都不能脱离纸质阅读。其次，部分人对纸质阅读的偏爱也将稳定纸质阅读在人群人群厚重的占比，纸质书更便于做笔记和保存，很多书籍也具有收藏价值，这些都是数字化阅读所不具备的特点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示例二：我认为纸质阅读逐渐会被数字化阅读取代。随着科技的发展，出现各种电子阅读器，以及各类阅读的</w:t>
      </w:r>
      <w:r>
        <w:rPr>
          <w:rFonts w:ascii="Times New Roman" w:eastAsia="Times New Roman" w:hAnsi="Times New Roman" w:cs="Times New Roman"/>
          <w:kern w:val="0"/>
          <w:szCs w:val="21"/>
        </w:rPr>
        <w:t>APP</w:t>
      </w:r>
      <w:r>
        <w:rPr>
          <w:rFonts w:ascii="宋体" w:eastAsia="宋体" w:hAnsi="宋体" w:cs="宋体"/>
          <w:kern w:val="0"/>
          <w:szCs w:val="21"/>
        </w:rPr>
        <w:t>，数字胡阅读变得越来越普及，各个年龄层次的读者都能接触数字化阅读。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3、（2分）B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二、4、（4分）①好奇的童心被引逗起来；② 怡然自得，其乐陶陶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5、（</w:t>
      </w:r>
      <w:r>
        <w:rPr>
          <w:rFonts w:ascii="宋体" w:eastAsia="宋体" w:hAnsi="宋体" w:cs="宋体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分）早晨阳光透过枝叶照在书架上的玩偶藤娘身上，窗外梧桐树和垂柳形成浓荫，相映成趣，鸽影在天湖光如镜，远处屹立不动的塔影，窗台上深绿肥大的君子兰。这些美景给人快乐和力量，都是“趣”的部分。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6、（4分）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运用比喻的修辞手法，把梧桐树枝叶比作绿色的网，生动形象地写出了梧桐树枝叶的茂密。</w:t>
      </w:r>
      <w:r>
        <w:rPr>
          <w:rFonts w:ascii="Times New Roman" w:eastAsia="宋体" w:hAnsi="Times New Roman" w:cs="Times New Roman" w:hint="eastAsia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“流”字生动形象地写出了阳光悄悄穿过浓密的树叶，照在藤娘身上的情形、枣现岀阳光流动的美感体现了作者愉悦美好的心情。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7、（6分）理解：人生和自然一样都是生动有趣、活泼可爱又充满生命力的，作者因为平时繁忙的生活而忽略了这些生活中的趣事美景，面对这“浓绿扑人眉宇，鸽影在天，湖光如镜”的夏季晨景，陶醉其中，吟出了美丽的诗句。（3分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[示例]我们不要因平时忙碌的生活而忽略生活中的美好，要有发现美的眼睛，从细微处领略大自然带给人们的无限美好与乐趣。据此分析作答即可。（3分）</w:t>
      </w:r>
    </w:p>
    <w:p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8、（3分）</w:t>
      </w:r>
      <w:r>
        <w:rPr>
          <w:rFonts w:ascii="宋体" w:eastAsia="宋体" w:hAnsi="宋体" w:cs="宋体"/>
          <w:kern w:val="0"/>
          <w:szCs w:val="21"/>
        </w:rPr>
        <w:t>《五猖会》记述儿时盼望观看迎神赛会的急切、兴奋的心情，和被父亲强迫背诵《鉴略》的扫兴而痛苦的感受。指出强制的封建教育对儿童的伤害，批判了封建思想习俗的不合理。</w:t>
      </w:r>
      <w:r>
        <w:rPr>
          <w:rFonts w:ascii="Times New Roman" w:eastAsia="Times New Roman" w:hAnsi="Times New Roman" w:cs="Times New Roman"/>
          <w:kern w:val="0"/>
          <w:sz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Times New Roman" w:eastAsia="宋体" w:hAnsi="Times New Roman" w:cs="Times New Roman" w:hint="eastAsia"/>
          <w:kern w:val="0"/>
          <w:sz w:val="24"/>
        </w:rPr>
        <w:t>9</w:t>
      </w:r>
      <w:r>
        <w:rPr>
          <w:rFonts w:ascii="宋体" w:eastAsia="宋体" w:hAnsi="宋体" w:cs="宋体" w:hint="eastAsia"/>
          <w:kern w:val="0"/>
          <w:szCs w:val="21"/>
        </w:rPr>
        <w:t>、（2分）</w:t>
      </w:r>
      <w:r>
        <w:rPr>
          <w:rFonts w:ascii="宋体" w:eastAsia="宋体" w:hAnsi="宋体" w:cs="宋体"/>
          <w:kern w:val="0"/>
          <w:szCs w:val="21"/>
        </w:rPr>
        <w:t>烘托</w:t>
      </w:r>
      <w:r>
        <w:rPr>
          <w:rFonts w:ascii="宋体" w:eastAsia="宋体" w:hAnsi="宋体" w:cs="宋体" w:hint="eastAsia"/>
          <w:kern w:val="0"/>
          <w:szCs w:val="21"/>
        </w:rPr>
        <w:t>出父亲那时</w:t>
      </w:r>
      <w:r>
        <w:rPr>
          <w:rFonts w:ascii="宋体" w:eastAsia="宋体" w:hAnsi="宋体" w:cs="宋体"/>
          <w:kern w:val="0"/>
          <w:szCs w:val="21"/>
        </w:rPr>
        <w:t>让“我”背书给“我”带来的痛苦感受，突出文章的主题思想。</w:t>
      </w:r>
      <w:r>
        <w:rPr>
          <w:rFonts w:ascii="Times New Roman" w:eastAsia="Times New Roman" w:hAnsi="Times New Roman" w:cs="Times New Roman"/>
          <w:kern w:val="0"/>
          <w:sz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宋体" w:eastAsia="宋体" w:hAnsi="宋体" w:cs="宋体" w:hint="eastAsia"/>
          <w:kern w:val="0"/>
          <w:szCs w:val="21"/>
        </w:rPr>
        <w:t>10、（5分）父亲是一个严格</w:t>
      </w:r>
      <w:r>
        <w:rPr>
          <w:rFonts w:ascii="宋体" w:eastAsia="宋体" w:hAnsi="宋体" w:cs="宋体"/>
          <w:kern w:val="0"/>
          <w:szCs w:val="21"/>
        </w:rPr>
        <w:t>、不了解儿童心理的家长。</w:t>
      </w:r>
      <w:r>
        <w:rPr>
          <w:rFonts w:ascii="Times New Roman" w:eastAsia="Times New Roman" w:hAnsi="Times New Roman" w:cs="Times New Roman"/>
          <w:kern w:val="0"/>
          <w:sz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宋体" w:eastAsia="宋体" w:hAnsi="宋体" w:cs="宋体"/>
          <w:kern w:val="0"/>
          <w:szCs w:val="21"/>
        </w:rPr>
        <w:t>感受</w:t>
      </w:r>
      <w:r>
        <w:rPr>
          <w:rFonts w:ascii="宋体" w:eastAsia="宋体" w:hAnsi="宋体" w:cs="宋体" w:hint="eastAsia"/>
          <w:kern w:val="0"/>
          <w:szCs w:val="21"/>
        </w:rPr>
        <w:t>：</w:t>
      </w:r>
      <w:r>
        <w:rPr>
          <w:rFonts w:ascii="宋体" w:eastAsia="宋体" w:hAnsi="宋体" w:cs="宋体"/>
          <w:kern w:val="0"/>
          <w:szCs w:val="21"/>
        </w:rPr>
        <w:t>到封建教育压制了儿童的好奇心，挫伤了儿童的求知欲，束缚了儿童的天性，教育的内容远离儿童生活实际，晦涩艰深，枯燥无味。表达了要保护儿童的好奇心，激发儿童的求知欲和学习兴趣，尊重儿童的天性，让儿童健康活泼的成长。</w:t>
      </w:r>
      <w:r>
        <w:rPr>
          <w:rFonts w:ascii="宋体" w:eastAsia="宋体" w:hAnsi="宋体" w:cs="宋体" w:hint="eastAsia"/>
          <w:kern w:val="0"/>
          <w:szCs w:val="21"/>
        </w:rPr>
        <w:t>（言之有理均可酌情给分）</w:t>
      </w:r>
    </w:p>
    <w:p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11、（4分）（1）</w:t>
      </w:r>
      <w:r>
        <w:rPr>
          <w:rFonts w:ascii="宋体" w:eastAsia="宋体" w:hAnsi="宋体" w:cs="宋体"/>
          <w:kern w:val="0"/>
          <w:szCs w:val="21"/>
        </w:rPr>
        <w:t>相约同行</w:t>
      </w:r>
      <w:r>
        <w:rPr>
          <w:rFonts w:ascii="宋体" w:eastAsia="宋体" w:hAnsi="宋体" w:cs="宋体" w:hint="eastAsia"/>
          <w:kern w:val="0"/>
          <w:szCs w:val="21"/>
        </w:rPr>
        <w:t xml:space="preserve">  （2）</w:t>
      </w:r>
      <w:r>
        <w:rPr>
          <w:rFonts w:ascii="宋体" w:eastAsia="宋体" w:hAnsi="宋体" w:cs="宋体"/>
          <w:kern w:val="0"/>
          <w:szCs w:val="21"/>
        </w:rPr>
        <w:t>拉</w:t>
      </w:r>
      <w:r>
        <w:rPr>
          <w:rFonts w:ascii="宋体" w:eastAsia="宋体" w:hAnsi="宋体" w:cs="宋体" w:hint="eastAsia"/>
          <w:kern w:val="0"/>
          <w:szCs w:val="21"/>
        </w:rPr>
        <w:t xml:space="preserve">  （3）</w:t>
      </w:r>
      <w:r>
        <w:rPr>
          <w:rFonts w:ascii="宋体" w:eastAsia="宋体" w:hAnsi="宋体" w:cs="宋体"/>
          <w:kern w:val="0"/>
          <w:szCs w:val="21"/>
        </w:rPr>
        <w:t>回家</w:t>
      </w:r>
      <w:r>
        <w:rPr>
          <w:rFonts w:ascii="宋体" w:eastAsia="宋体" w:hAnsi="宋体" w:cs="宋体" w:hint="eastAsia"/>
          <w:kern w:val="0"/>
          <w:szCs w:val="21"/>
        </w:rPr>
        <w:t xml:space="preserve">   （4）</w:t>
      </w:r>
      <w:r>
        <w:rPr>
          <w:rFonts w:ascii="宋体" w:eastAsia="宋体" w:hAnsi="宋体" w:cs="宋体"/>
          <w:kern w:val="0"/>
          <w:szCs w:val="21"/>
        </w:rPr>
        <w:t>所想要的</w:t>
      </w:r>
    </w:p>
    <w:p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12、（4分）（1）</w:t>
      </w:r>
      <w:r>
        <w:rPr>
          <w:rFonts w:ascii="宋体" w:eastAsia="宋体" w:hAnsi="宋体" w:cs="宋体"/>
          <w:kern w:val="0"/>
          <w:szCs w:val="21"/>
        </w:rPr>
        <w:t>友人感到惭愧，下车来拉元方，元方头也不回就进门了。</w:t>
      </w:r>
    </w:p>
    <w:p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（2）齐宣王认为他的母亲贤能，为她的深明大义感到高兴。</w:t>
      </w:r>
    </w:p>
    <w:p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13、（4分）</w:t>
      </w:r>
      <w:r>
        <w:rPr>
          <w:rFonts w:ascii="宋体" w:eastAsia="宋体" w:hAnsi="宋体" w:cs="宋体"/>
          <w:kern w:val="0"/>
          <w:szCs w:val="21"/>
        </w:rPr>
        <w:t>【甲】文：做人要讲诚信；【乙】文：为官不贪，正直，忠于国家才能尽孝。</w:t>
      </w:r>
    </w:p>
    <w:p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/>
    <w:p>
      <w:pPr>
        <w:spacing w:line="360" w:lineRule="auto"/>
        <w:ind w:firstLine="420" w:firstLineChars="200"/>
        <w:textAlignment w:val="center"/>
        <w:rPr>
          <w:rFonts w:ascii="Times New Roman" w:hAnsi="Times New Roman" w:eastAsiaTheme="minorEastAsia" w:cs="Times New Roman"/>
          <w:kern w:val="0"/>
          <w:szCs w:val="21"/>
        </w:rPr>
      </w:pPr>
      <w:bookmarkStart w:id="0" w:name="_GoBack"/>
      <w:bookmarkEnd w:id="0"/>
    </w:p>
    <w:sectPr>
      <w:footerReference w:type="even" r:id="rId8"/>
      <w:footerReference w:type="default" r:id="rId9"/>
      <w:pgSz w:w="23814" w:h="16840" w:orient="landscape"/>
      <w:pgMar w:top="1440" w:right="1797" w:bottom="1440" w:left="1797" w:header="851" w:footer="992" w:gutter="0"/>
      <w:cols w:num="2" w:sep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fldChar w:fldCharType="begin"/>
    </w:r>
    <w:r>
      <w:instrText xml:space="preserve"> STYLEREF  标题  \* MERGEFORMAT </w:instrText>
    </w:r>
    <w:r>
      <w:fldChar w:fldCharType="separate"/>
    </w:r>
    <w:r>
      <w:t>语文试卷</w:t>
    </w:r>
    <w:r>
      <w:fldChar w:fldCharType="end"/>
    </w:r>
    <w:r>
      <w:t xml:space="preserve">   </w:t>
    </w:r>
    <w:r>
      <w:rPr>
        <w:rFonts w:hint="eastAsia"/>
      </w:rPr>
      <w:t>第</w:t>
    </w:r>
    <w:r>
      <w:rPr>
        <w:rStyle w:val="PageNumber"/>
      </w:rPr>
      <w:fldChar w:fldCharType="begin"/>
    </w:r>
    <w:r>
      <w:rPr>
        <w:rStyle w:val="PageNumber"/>
      </w:rPr>
      <w:instrText xml:space="preserve"> PAGE   \* MERGEFORMAT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t xml:space="preserve"> </w:t>
    </w:r>
    <w:r>
      <w:rPr>
        <w:rFonts w:hint="eastAsia"/>
      </w:rPr>
      <w:t>页</w:t>
    </w:r>
    <w:r>
      <w:t xml:space="preserve">   </w:t>
    </w:r>
    <w:r>
      <w:rPr>
        <w:rFonts w:hint="eastAsia"/>
      </w:rPr>
      <w:t>共</w:t>
    </w:r>
    <w:r>
      <w:fldChar w:fldCharType="begin"/>
    </w:r>
    <w:r>
      <w:instrText xml:space="preserve"> NUMPAGES   \* MERGEFORMAT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  <w:r>
      <w:t xml:space="preserve">                       </w:t>
    </w:r>
    <w:r>
      <w:rPr>
        <w:rFonts w:hint="eastAsia"/>
      </w:rPr>
      <w:t>制卷人：郭梦瑶</w:t>
    </w:r>
    <w:r>
      <w:t xml:space="preserve">                                     2020</w:t>
    </w:r>
    <w:r>
      <w:rPr>
        <w:rFonts w:hint="eastAsia"/>
      </w:rPr>
      <w:t>年</w:t>
    </w:r>
    <w:r>
      <w:t>10</w:t>
    </w:r>
    <w:r>
      <w:rPr>
        <w:rFonts w:hint="eastAsia"/>
      </w:rPr>
      <w:t>月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fldChar w:fldCharType="begin"/>
    </w:r>
    <w:r>
      <w:instrText xml:space="preserve"> STYLEREF  标题  \* MERGEFORMAT </w:instrText>
    </w:r>
    <w:r>
      <w:fldChar w:fldCharType="separate"/>
    </w:r>
    <w:r>
      <w:t>语文试卷</w:t>
    </w:r>
    <w:r>
      <w:fldChar w:fldCharType="end"/>
    </w:r>
    <w:r>
      <w:t xml:space="preserve">   </w:t>
    </w:r>
    <w:r>
      <w:rPr>
        <w:rFonts w:hint="eastAsia"/>
      </w:rPr>
      <w:t>第</w:t>
    </w:r>
    <w:r>
      <w:rPr>
        <w:rStyle w:val="PageNumber"/>
      </w:rPr>
      <w:fldChar w:fldCharType="begin"/>
    </w:r>
    <w:r>
      <w:rPr>
        <w:rStyle w:val="PageNumber"/>
      </w:rPr>
      <w:instrText xml:space="preserve"> PAGE   \* MERGEFORMAT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t xml:space="preserve"> </w:t>
    </w:r>
    <w:r>
      <w:rPr>
        <w:rFonts w:hint="eastAsia"/>
      </w:rPr>
      <w:t>页</w:t>
    </w:r>
    <w:r>
      <w:t xml:space="preserve">   </w:t>
    </w:r>
    <w:r>
      <w:rPr>
        <w:rFonts w:hint="eastAsia"/>
      </w:rPr>
      <w:t>共</w:t>
    </w:r>
    <w:r>
      <w:fldChar w:fldCharType="begin"/>
    </w:r>
    <w:r>
      <w:instrText xml:space="preserve"> NUMPAGES   \* MERGEFORMAT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  <w:r>
      <w:t xml:space="preserve">                       </w:t>
    </w:r>
    <w:r>
      <w:rPr>
        <w:rFonts w:hint="eastAsia"/>
      </w:rPr>
      <w:t>制卷人：郭梦瑶</w:t>
    </w:r>
    <w:r>
      <w:t xml:space="preserve">                                     2020</w:t>
    </w:r>
    <w:r>
      <w:rPr>
        <w:rFonts w:hint="eastAsia"/>
      </w:rPr>
      <w:t>年</w:t>
    </w:r>
    <w:r>
      <w:t>10</w:t>
    </w:r>
    <w:r>
      <w:rPr>
        <w:rFonts w:hint="eastAsia"/>
      </w:rPr>
      <w:t>月</w:t>
    </w:r>
  </w:p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FA87290"/>
    <w:multiLevelType w:val="singleLevel"/>
    <w:tmpl w:val="AFA87290"/>
    <w:lvl w:ilvl="0">
      <w:start w:val="1"/>
      <w:numFmt w:val="decimal"/>
      <w:suff w:val="nothing"/>
      <w:lvlText w:val="%1、"/>
      <w:lvlJc w:val="left"/>
    </w:lvl>
  </w:abstractNum>
  <w:abstractNum w:abstractNumId="1">
    <w:nsid w:val="E5C3F4BF"/>
    <w:multiLevelType w:val="singleLevel"/>
    <w:tmpl w:val="E5C3F4BF"/>
    <w:lvl w:ilvl="0">
      <w:start w:val="1"/>
      <w:numFmt w:val="decimal"/>
      <w:suff w:val="nothing"/>
      <w:lvlText w:val="（%1）"/>
      <w:lvlJc w:val="left"/>
    </w:lvl>
  </w:abstractNum>
  <w:abstractNum w:abstractNumId="2">
    <w:nsid w:val="E8605083"/>
    <w:multiLevelType w:val="singleLevel"/>
    <w:tmpl w:val="E8605083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F0AC9A59"/>
    <w:multiLevelType w:val="singleLevel"/>
    <w:tmpl w:val="F0AC9A59"/>
    <w:lvl w:ilvl="0">
      <w:start w:val="2"/>
      <w:numFmt w:val="decimal"/>
      <w:suff w:val="nothing"/>
      <w:lvlText w:val="%1、"/>
      <w:lvlJc w:val="left"/>
    </w:lvl>
  </w:abstractNum>
  <w:abstractNum w:abstractNumId="4">
    <w:nsid w:val="F5ECCC1C"/>
    <w:multiLevelType w:val="singleLevel"/>
    <w:tmpl w:val="F5ECCC1C"/>
    <w:lvl w:ilvl="0">
      <w:start w:val="5"/>
      <w:numFmt w:val="decimal"/>
      <w:suff w:val="nothing"/>
      <w:lvlText w:val="%1、"/>
      <w:lvlJc w:val="left"/>
    </w:lvl>
  </w:abstractNum>
  <w:abstractNum w:abstractNumId="5">
    <w:nsid w:val="0485501E"/>
    <w:multiLevelType w:val="singleLevel"/>
    <w:tmpl w:val="0485501E"/>
    <w:lvl w:ilvl="0">
      <w:start w:val="8"/>
      <w:numFmt w:val="decimal"/>
      <w:suff w:val="nothing"/>
      <w:lvlText w:val="%1、"/>
      <w:lvlJc w:val="left"/>
    </w:lvl>
  </w:abstractNum>
  <w:abstractNum w:abstractNumId="6">
    <w:nsid w:val="433642FD"/>
    <w:multiLevelType w:val="singleLevel"/>
    <w:tmpl w:val="433642FD"/>
    <w:lvl w:ilvl="0">
      <w:start w:val="1"/>
      <w:numFmt w:val="decimal"/>
      <w:suff w:val="nothing"/>
      <w:lvlText w:val="（%1）"/>
      <w:lvlJc w:val="left"/>
    </w:lvl>
  </w:abstractNum>
  <w:abstractNum w:abstractNumId="7">
    <w:nsid w:val="44838B2F"/>
    <w:multiLevelType w:val="singleLevel"/>
    <w:tmpl w:val="44838B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overrideTableStyleFontSizeAndJustification" w:uri="http://schemas.microsoft.com/office/word" w:val="0"/>
    <w:compatSetting w:name="differentiateMultirowTableHeaders" w:uri="http://schemas.microsoft.com/office/word" w:val="1"/>
  </w:compat>
  <w:rsids>
    <w:rsidRoot w:val="00495EC3"/>
    <w:rsid w:val="0009642D"/>
    <w:rsid w:val="0015109F"/>
    <w:rsid w:val="00191841"/>
    <w:rsid w:val="00226755"/>
    <w:rsid w:val="0024333B"/>
    <w:rsid w:val="003713A0"/>
    <w:rsid w:val="003A109D"/>
    <w:rsid w:val="003C25CD"/>
    <w:rsid w:val="003E544D"/>
    <w:rsid w:val="003F1081"/>
    <w:rsid w:val="00433446"/>
    <w:rsid w:val="00495EC3"/>
    <w:rsid w:val="004F6AC7"/>
    <w:rsid w:val="006A156C"/>
    <w:rsid w:val="006C678E"/>
    <w:rsid w:val="00802C23"/>
    <w:rsid w:val="008F033B"/>
    <w:rsid w:val="00AB4FC1"/>
    <w:rsid w:val="00BA3148"/>
    <w:rsid w:val="00BD6E99"/>
    <w:rsid w:val="00BE18B4"/>
    <w:rsid w:val="00D65906"/>
    <w:rsid w:val="00D71E98"/>
    <w:rsid w:val="00EE2355"/>
    <w:rsid w:val="00F0554F"/>
    <w:rsid w:val="2277156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 w:semiHidden="0" w:unhideWhenUsed="0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 w:semiHidden="0" w:unhideWhenUsed="0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Char3"/>
    <w:uiPriority w:val="99"/>
    <w:qFormat/>
    <w:pPr>
      <w:widowControl w:val="0"/>
      <w:spacing w:before="240" w:after="60"/>
      <w:jc w:val="center"/>
      <w:outlineLvl w:val="0"/>
    </w:pPr>
    <w:rPr>
      <w:rFonts w:ascii="Cambria" w:eastAsia="楷体" w:hAnsi="Cambria" w:cs="Times New Roman"/>
      <w:b/>
      <w:bCs/>
      <w:sz w:val="44"/>
      <w:szCs w:val="32"/>
    </w:rPr>
  </w:style>
  <w:style w:type="table" w:styleId="TableGrid">
    <w:name w:val="Table Grid"/>
    <w:basedOn w:val="TableNormal"/>
    <w:uiPriority w:val="59"/>
    <w:qFormat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Pr>
      <w:rFonts w:cs="Times New Roman"/>
    </w:r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MsoNormalTable">
    <w:name w:val="MsoNormalTable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har3">
    <w:name w:val="标题 Char"/>
    <w:basedOn w:val="DefaultParagraphFont"/>
    <w:link w:val="Title"/>
    <w:uiPriority w:val="99"/>
    <w:qFormat/>
    <w:rPr>
      <w:rFonts w:ascii="Cambria" w:eastAsia="楷体" w:hAnsi="Cambria" w:cs="Times New Roman"/>
      <w:b/>
      <w:bCs/>
      <w:sz w:val="44"/>
      <w:szCs w:val="32"/>
    </w:rPr>
  </w:style>
  <w:style w:type="paragraph" w:customStyle="1" w:styleId="MsoPlainText">
    <w:name w:val="MsoPlainText"/>
    <w:basedOn w:val="Normal"/>
    <w:qFormat/>
    <w:pPr>
      <w:widowControl w:val="0"/>
      <w:jc w:val="both"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89A767-7F7A-40F9-ACDC-4F26A1A0D6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742</Words>
  <Characters>4233</Characters>
  <Application>Microsoft Office Word</Application>
  <DocSecurity>0</DocSecurity>
  <Lines>35</Lines>
  <Paragraphs>9</Paragraphs>
  <ScaleCrop>false</ScaleCrop>
  <Company>iflytek</Company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小妍</cp:lastModifiedBy>
  <cp:revision>273</cp:revision>
  <dcterms:created xsi:type="dcterms:W3CDTF">2011-01-13T09:46:00Z</dcterms:created>
  <dcterms:modified xsi:type="dcterms:W3CDTF">2021-04-21T11:06:50Z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