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jc w:val="center"/>
        <w:textAlignment w:val="auto"/>
        <w:rPr>
          <w:rFonts w:ascii="黑体" w:eastAsia="黑体" w:hAnsi="黑体"/>
          <w:b/>
          <w:color w:val="000000" w:themeColor="text1"/>
          <w:sz w:val="28"/>
          <w:szCs w:val="28"/>
          <w:lang w:val="zh-CN"/>
        </w:rPr>
      </w:pPr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2pt;margin-top:825pt;margin-left:80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t>2020学年九上月考1语文试卷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jc w:val="center"/>
        <w:textAlignment w:val="auto"/>
        <w:rPr>
          <w:rFonts w:ascii="宋体" w:hAnsi="宋体"/>
          <w:b/>
          <w:color w:val="000000" w:themeColor="text1"/>
          <w:sz w:val="28"/>
          <w:szCs w:val="28"/>
          <w:lang w:val="zh-CN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  <w:lang w:val="zh-CN"/>
        </w:rPr>
        <w:t>参考答案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一、书写（5分）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   </w:t>
      </w:r>
      <w:r>
        <w:rPr>
          <w:rFonts w:asciiTheme="minorEastAsia" w:eastAsiaTheme="minorEastAsia" w:hAnsiTheme="minorEastAsia"/>
          <w:b/>
          <w:color w:val="000000" w:themeColor="text1"/>
          <w:szCs w:val="21"/>
        </w:rPr>
        <w:t>正确、工整。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二、积累运用（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25</w:t>
      </w:r>
      <w:r>
        <w:rPr>
          <w:rFonts w:asciiTheme="minorEastAsia" w:eastAsiaTheme="minorEastAsia" w:hAnsiTheme="minorEastAsia"/>
          <w:b/>
          <w:color w:val="000000" w:themeColor="text1"/>
          <w:szCs w:val="21"/>
        </w:rPr>
        <w:t>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1、</w:t>
      </w:r>
      <w:r>
        <w:rPr>
          <w:rFonts w:asciiTheme="minorEastAsia" w:eastAsiaTheme="minorEastAsia" w:hAnsiTheme="minorEastAsia"/>
          <w:b/>
          <w:color w:val="000000" w:themeColor="text1"/>
          <w:szCs w:val="21"/>
        </w:rPr>
        <w:t>（4分）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      娆  娉  亵  恪  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2、古诗文名句积累。（12分）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（1）汉文有道恩犹薄     （2）雪拥蓝关马不前    （3）得之心而寓之酒也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（4）病树前头万木春     （5）长风破浪会有时    （6）直挂云帆济沧海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 （7）不以物喜         （8）不以己悲           （9）月是故乡明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（10）千里共婵娟       （11）鸡声茅店月        （12）人迹板桥霜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3、解释下列句中加点的文言词语（4分）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（1）日光  （2）命名 取名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（3）牵扶，这里指被牵扶的人，即儿童  （4）同“俱”，全、皆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4、（2分）      樽、觥、（白）。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5、（3分）  C  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二、阅读（52分） （一）（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6、（4分）　丙    　《雪落在中国的土地上》一诗以“雪夜”为背景，以人民受难图为主体，以满腔的忧郁、悲愤、哀伤和对祖国无限的赤诚和中心为线索再现了中国遭受的苦难，表达了诗人深厚的爱国热情。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7、（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分）D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8、（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分）B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（二）（1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left="220" w:firstLine="220" w:leftChars="100" w:firstLineChars="10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  <w:shd w:val="clear" w:color="auto" w:fill="FFFFFF"/>
        </w:rPr>
        <w:t>9、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shd w:val="clear" w:color="auto" w:fill="FFFFFF"/>
          <w:lang w:eastAsia="zh-CN"/>
        </w:rPr>
        <w:t>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shd w:val="clear" w:color="auto" w:fill="FFFFFF"/>
          <w:lang w:val="en-US" w:eastAsia="zh-CN"/>
        </w:rPr>
        <w:t>3分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shd w:val="clear" w:color="auto" w:fill="FFFFFF"/>
          <w:lang w:eastAsia="zh-CN"/>
        </w:rPr>
        <w:t>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小学生被“网红”的门槛极低、快速出名、收入颇丰等因素吸引；孩子天真幼稚，不懂得辛勤劳作、艰苦奋斗是生活之本；各种媒体、网络宣传教育的失当，影响到了孩子们的价值选择。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left="220" w:firstLine="220" w:leftChars="100" w:firstLineChars="10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0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、 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2+2分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(1).</w:t>
      </w:r>
      <w:r>
        <w:rPr>
          <w:rFonts w:ascii="Calibri" w:hAnsi="Calibri" w:eastAsiaTheme="minorEastAsia" w:cs="Calibri" w:hint="default"/>
          <w:b/>
          <w:color w:val="000000" w:themeColor="text1"/>
          <w:szCs w:val="21"/>
        </w:rPr>
        <w:t>①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“风生水起”是指“网红”在事业上的快速出名，有着颇丰的收入。</w:t>
      </w:r>
      <w:r>
        <w:rPr>
          <w:rFonts w:ascii="Calibri" w:hAnsi="Calibri" w:eastAsiaTheme="minorEastAsia" w:cs="Calibri" w:hint="default"/>
          <w:b/>
          <w:color w:val="000000" w:themeColor="text1"/>
          <w:szCs w:val="21"/>
        </w:rPr>
        <w:t>②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“鸿鹄之志”指的是孩子们由于幼稚天真，做着当“网红”的美梦。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left="220" w:firstLine="220" w:leftChars="100" w:firstLineChars="10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(2).“奇葩风景”“昙花一现”讽刺了“网红”是孩子成长中的误区，不会长久存在。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left="220" w:firstLine="220" w:leftChars="100" w:firstLineChars="10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、 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4分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与低俗的“网红”形成对比，指出其廉价而无意义；论述像“大国工匠”一类的人才是有正能量“网红”，值得崇尚和学习。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left="220" w:firstLine="220" w:leftChars="100" w:firstLineChars="100"/>
        <w:textAlignment w:val="auto"/>
        <w:rPr>
          <w:rFonts w:asciiTheme="minorEastAsia" w:eastAsiaTheme="minorEastAsia" w:hAnsiTheme="minorEastAsia" w:cs="Times New Roman"/>
          <w:b/>
          <w:color w:val="000000" w:themeColor="text1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4分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 钟南山坚守职业操守、做好本职工作是正能量。像他那样的“网红”，是人们对安全和美好生活的追求。李子柒做事的勤奋认真，用自己的努力实现了自己的梦想，是一种正能量。像她那样的普通人成为“网红”，是人们对中华传统美德的赞美，传统文化的弘扬，对真诚简单生活的向往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（三）（13分）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（2分）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我们今天的年轻人，更应该具有担当的力量。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（3分）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不能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。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A、B、C三句分别举了花木兰、鲁迅和焦裕禄的例子，与后文“他们对家庭、民族、国家的热爱”照应，而且是按时间先后顺序排列的，所以不能调换。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（4分）</w:t>
      </w:r>
      <w:r>
        <w:rPr>
          <w:rFonts w:hAnsi="MS Mincho" w:asciiTheme="minorEastAsia" w:eastAsiaTheme="minorEastAsia" w:cs="MS Mincho"/>
          <w:b/>
          <w:color w:val="000000" w:themeColor="text1"/>
          <w:szCs w:val="21"/>
        </w:rPr>
        <w:t>​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举例论证、道理论证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。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举了孟子、林则徐、陆游、于谦有担当的例子，具体有力地论证了“担当的力量源自于传承”这一分论点，进而论证了全文中心论点，使论证更有说服力和权威性。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="宋体" w:hint="eastAsia"/>
          <w:b/>
          <w:color w:val="000000" w:themeColor="text1"/>
          <w:szCs w:val="2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（4分）</w:t>
      </w:r>
      <w:r>
        <w:rPr>
          <w:rFonts w:asciiTheme="minorEastAsia" w:eastAsiaTheme="minorEastAsia" w:hAnsiTheme="minorEastAsia" w:cs="宋体"/>
          <w:b/>
          <w:color w:val="000000" w:themeColor="text1"/>
          <w:szCs w:val="21"/>
        </w:rPr>
        <w:t>首先提出“这种力量究竟源自何处呢？”这一问题，然后从“担当的力量源自于爱”“担当的力量源自于责任”“担当的力量源自于传承”三个方面进行论述。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（四）（13分）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、（2分）（  C   ）          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、（2分）①白描手法，“痕、点、芥、粒”极言其小，且小的程度越来越深，一个小似一个。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②表现出雪后湖中景物的空灵、渺小之感。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③寄寓着作者对于生如草芥，人生渺茫的感慨，体现出作者孤单寂寞的心境以及淡淡的愁绪。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、（2+2分）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　①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（湖上）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弥漫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eastAsia="zh-CN"/>
        </w:rPr>
        <w:t>着水汽凝成的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冰花，天与云与山与水，浑然一体，白茫茫一片。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　②所剩下的只有烂床、破茶几、坏的铜鼎、弹不了的琴，和几本残旧不堪的书、缺角的砚一块而已。</w:t>
      </w:r>
    </w:p>
    <w:p>
      <w:pPr>
        <w:pStyle w:val="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（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 w:firstLineChars="20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“莫说相公痴，更有痴似相公者。”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①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痴迷于自然美景、山水之乐，在湖心亭美景中陶醉。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②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凸显出作者遗世独立，远离世俗的高雅情趣。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③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更体现出作者的亡国之痛。少年纨绔子弟酷爱繁华，到如今的国破家亡，不得不避世山居，饱含作者的故国之思。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参考译文：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甲：崇祯五年（公元1632年）十二月，我住在西湖边。大雪接连下了多天，湖中的行人、飞鸟的声音都消失了。这一天晚上八点左右，我撑着一叶小舟，穿着毛皮衣，带着火炉，独自前往湖心亭看雪。（湖面上）冰花一片弥漫，天和云和山和水，天光湖色全是白皑皑的。湖上的影子，只有一道长堤的痕迹，一点湖心亭的轮廓，和我的一叶小舟，舟中的两三粒人影罢了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到了湖心亭上，看见有两个人铺好毡子，相对而坐，一个小孩正把酒炉（里的酒）烧得滚沸。（他们）看见我，非常高兴地说：“想不到在湖中还会有您这样的人！”（他们）拉着我一同饮酒。我尽情的喝了三大杯酒，然后和他们道别。（我）问他们的姓氏，（得知他们）是南京人，在此地客居。等到了下船的时候，船夫喃喃地说：“不要说相公您痴，还有像相公您一样痴的人啊！”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乙：蜀人张岱，他的号陶庵。年少时候是纨绔子弟，十分爱繁华的场所，喜欢住漂亮的房子，爱美丽的婢女和美少年，爱穿鲜艳华丽的衣裳，经常吃美食，骑骏马，家里装饰华丽的灯饰，爱观看烟火，喜欢唱戏，喜欢声乐，懂古董，喜欢莳（shì 移栽,栽种）花养鸟，并且沉溺于喝茶下象棋，对作诗读书着魔，忙忙碌碌大半生，全部都成了泡影成了梦幻。五十岁的时候，国破家亡（明朝），隐居在山里躲避战乱，所剩下的只有烂床、破茶几、坏的铜鼎、弹不了的琴，和几本残旧不堪的书、缺角的砚一块而已。穿麻布衣吃素食，经常断粮。想想二十年前，简直就是两个世界一样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 w:hint="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（五）（4分）  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 w:firstLineChars="20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、（2分）客心      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、（2分）借“落叶”的意象抒发了游子的思乡之情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tLeast"/>
        <w:ind w:firstLine="420"/>
        <w:textAlignment w:val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szCs w:val="21"/>
        </w:rPr>
        <w:t>四、写作（6</w:t>
      </w:r>
      <w:r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8</w:t>
      </w:r>
      <w:r>
        <w:rPr>
          <w:rFonts w:asciiTheme="minorEastAsia" w:eastAsiaTheme="minorEastAsia" w:hAnsiTheme="minorEastAsia"/>
          <w:b/>
          <w:color w:val="000000" w:themeColor="text1"/>
          <w:szCs w:val="21"/>
        </w:rPr>
        <w:t>分）</w:t>
      </w:r>
    </w:p>
    <w:sectPr>
      <w:headerReference w:type="first" r:id="rId6"/>
      <w:pgSz w:w="11906" w:h="16838"/>
      <w:pgMar w:top="1440" w:right="1800" w:bottom="1440" w:left="1800" w:header="708" w:footer="708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FDF001"/>
    <w:multiLevelType w:val="singleLevel"/>
    <w:tmpl w:val="9AFDF001"/>
    <w:lvl w:ilvl="0">
      <w:start w:val="2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25218"/>
    <w:rsid w:val="0008188F"/>
    <w:rsid w:val="000D3018"/>
    <w:rsid w:val="001471A1"/>
    <w:rsid w:val="002557A5"/>
    <w:rsid w:val="002C4CFD"/>
    <w:rsid w:val="00323B43"/>
    <w:rsid w:val="00384A19"/>
    <w:rsid w:val="003C26E9"/>
    <w:rsid w:val="003D37D8"/>
    <w:rsid w:val="004179AB"/>
    <w:rsid w:val="00426133"/>
    <w:rsid w:val="004358AB"/>
    <w:rsid w:val="00455F82"/>
    <w:rsid w:val="004A7781"/>
    <w:rsid w:val="004B03A8"/>
    <w:rsid w:val="004D5BEE"/>
    <w:rsid w:val="004D6C73"/>
    <w:rsid w:val="00550FC2"/>
    <w:rsid w:val="00551ABF"/>
    <w:rsid w:val="00555280"/>
    <w:rsid w:val="00582C9A"/>
    <w:rsid w:val="005A2187"/>
    <w:rsid w:val="005B1BBF"/>
    <w:rsid w:val="005B4843"/>
    <w:rsid w:val="006417EE"/>
    <w:rsid w:val="006A6AD3"/>
    <w:rsid w:val="006F3FE3"/>
    <w:rsid w:val="007256DE"/>
    <w:rsid w:val="00734038"/>
    <w:rsid w:val="00744D78"/>
    <w:rsid w:val="00756A99"/>
    <w:rsid w:val="0077477C"/>
    <w:rsid w:val="007749F7"/>
    <w:rsid w:val="00880CA1"/>
    <w:rsid w:val="008B7726"/>
    <w:rsid w:val="009204D6"/>
    <w:rsid w:val="009355C2"/>
    <w:rsid w:val="00940428"/>
    <w:rsid w:val="0094184F"/>
    <w:rsid w:val="009A62ED"/>
    <w:rsid w:val="009C5252"/>
    <w:rsid w:val="00A367D0"/>
    <w:rsid w:val="00A56503"/>
    <w:rsid w:val="00A72A9D"/>
    <w:rsid w:val="00AD41B0"/>
    <w:rsid w:val="00B129A5"/>
    <w:rsid w:val="00B51C60"/>
    <w:rsid w:val="00B56343"/>
    <w:rsid w:val="00B96061"/>
    <w:rsid w:val="00BE0405"/>
    <w:rsid w:val="00CA5777"/>
    <w:rsid w:val="00D074E7"/>
    <w:rsid w:val="00D31D50"/>
    <w:rsid w:val="00E56F04"/>
    <w:rsid w:val="00F656F5"/>
    <w:rsid w:val="00FF491A"/>
    <w:rsid w:val="10532219"/>
    <w:rsid w:val="20FD6B36"/>
    <w:rsid w:val="2B9B37A7"/>
    <w:rsid w:val="2C9300B5"/>
    <w:rsid w:val="4542293E"/>
    <w:rsid w:val="62E855F4"/>
    <w:rsid w:val="708864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ahoma" w:hAnsi="Tahoma"/>
      <w:sz w:val="18"/>
      <w:szCs w:val="18"/>
    </w:rPr>
  </w:style>
  <w:style w:type="paragraph" w:customStyle="1" w:styleId="1">
    <w:name w:val="正文_1"/>
    <w:qFormat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2001</Words>
  <Characters>2041</Characters>
  <Application>Microsoft Office Word</Application>
  <DocSecurity>0</DocSecurity>
  <Lines>12</Lines>
  <Paragraphs>3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2008-09-11T17:20:00Z</dcterms:created>
  <dcterms:modified xsi:type="dcterms:W3CDTF">2020-11-13T09:22:12Z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