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tabs>
          <w:tab w:val="left" w:pos="360"/>
        </w:tabs>
        <w:wordWrap/>
        <w:adjustRightInd w:val="0"/>
        <w:snapToGrid w:val="0"/>
        <w:spacing w:beforeAutospacing="0" w:afterAutospacing="0" w:line="360" w:lineRule="auto"/>
        <w:ind w:firstLine="2240" w:firstLineChars="700"/>
        <w:jc w:val="both"/>
        <w:rPr>
          <w:rFonts w:eastAsia="宋体" w:hint="eastAsia"/>
          <w:b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b/>
          <w:color w:val="000000"/>
          <w:sz w:val="32"/>
          <w:szCs w:val="32"/>
        </w:rPr>
        <w:t>20</w:t>
      </w:r>
      <w:r>
        <w:rPr>
          <w:rFonts w:hint="eastAsia"/>
          <w:b/>
          <w:color w:val="000000"/>
          <w:sz w:val="32"/>
          <w:szCs w:val="32"/>
        </w:rPr>
        <w:t>20</w:t>
      </w:r>
      <w:r>
        <w:rPr>
          <w:b/>
          <w:color w:val="000000"/>
          <w:sz w:val="32"/>
          <w:szCs w:val="32"/>
        </w:rPr>
        <w:t>—20</w:t>
      </w:r>
      <w:r>
        <w:rPr>
          <w:rFonts w:hint="eastAsia"/>
          <w:b/>
          <w:color w:val="000000"/>
          <w:sz w:val="32"/>
          <w:szCs w:val="32"/>
        </w:rPr>
        <w:t>21上</w:t>
      </w:r>
      <w:r>
        <w:rPr>
          <w:b/>
          <w:color w:val="000000"/>
          <w:sz w:val="32"/>
          <w:szCs w:val="32"/>
        </w:rPr>
        <w:t>学期</w:t>
      </w:r>
      <w:r>
        <w:rPr>
          <w:rFonts w:hint="eastAsia"/>
          <w:b/>
          <w:color w:val="000000"/>
          <w:sz w:val="32"/>
          <w:szCs w:val="32"/>
        </w:rPr>
        <w:t>七</w:t>
      </w:r>
      <w:r>
        <w:rPr>
          <w:b/>
          <w:color w:val="000000"/>
          <w:sz w:val="32"/>
          <w:szCs w:val="32"/>
        </w:rPr>
        <w:t>年级</w:t>
      </w:r>
      <w:r>
        <w:rPr>
          <w:rFonts w:hint="eastAsia"/>
          <w:b/>
          <w:color w:val="000000"/>
          <w:sz w:val="32"/>
          <w:szCs w:val="32"/>
        </w:rPr>
        <w:t>语文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期末</w:t>
      </w:r>
    </w:p>
    <w:p>
      <w:pPr>
        <w:tabs>
          <w:tab w:val="left" w:pos="360"/>
        </w:tabs>
        <w:wordWrap/>
        <w:adjustRightInd w:val="0"/>
        <w:snapToGrid w:val="0"/>
        <w:spacing w:beforeAutospacing="0" w:afterAutospacing="0" w:line="360" w:lineRule="auto"/>
        <w:ind w:firstLine="2880" w:firstLineChars="900"/>
        <w:jc w:val="both"/>
      </w:pPr>
      <w:r>
        <w:rPr>
          <w:b/>
          <w:color w:val="000000"/>
          <w:sz w:val="32"/>
          <w:szCs w:val="32"/>
        </w:rPr>
        <w:t>调研测试答案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u w:val="none"/>
          <w:lang w:val="en-US" w:eastAsia="zh-CN"/>
        </w:rPr>
        <w:t xml:space="preserve">D  2.A  3.B   4.C  5.D  6.C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u w:val="none"/>
          <w:lang w:val="en-US" w:eastAsia="zh-CN"/>
        </w:rPr>
        <w:t xml:space="preserve"> 7.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①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便引诗情到碧霄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中古高原簇此成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③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尚思为国戍轮台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④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何当共剪西窗烛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⑤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应傍战场开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⑥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非淡泊无以明志，非宁静无以致远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①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卸下，解除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像狗一样    </w:t>
      </w:r>
      <w:r>
        <w:rPr>
          <w:b w:val="0"/>
          <w:bCs w:val="0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①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狼不敢向前，瞪眼朝着屠户。</w:t>
      </w:r>
      <w:r>
        <w:rPr>
          <w:b w:val="0"/>
          <w:bCs w:val="0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b w:val="0"/>
          <w:bCs w:val="0"/>
          <w:sz w:val="24"/>
          <w:szCs w:val="24"/>
        </w:rPr>
        <w:t>分）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jc w:val="both"/>
        <w:textAlignment w:val="auto"/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禽兽的诡诈手段能有多少啊？只是增加笑料罢了。</w:t>
      </w:r>
      <w:r>
        <w:rPr>
          <w:b w:val="0"/>
          <w:bCs w:val="0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b w:val="0"/>
          <w:bCs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5" o:title=""/>
            <o:lock v:ext="edit" aspectratio="t"/>
          </v:shape>
        </w:pict>
      </w:r>
      <w:r>
        <w:rPr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jc w:val="both"/>
        <w:textAlignment w:val="auto"/>
        <w:rPr>
          <w:rFonts w:ascii="宋体" w:hAnsi="宋体" w:cs="宋体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①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 xml:space="preserve">贪婪或贪婪凶残（只答“凶残”不得分）  （1分）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ascii="宋体" w:hAnsi="宋体" w:cs="宋体" w:hint="eastAsia"/>
          <w:b w:val="0"/>
          <w:bCs w:val="0"/>
          <w:sz w:val="24"/>
          <w:szCs w:val="24"/>
          <w:u w:val="none"/>
          <w:lang w:val="en-US" w:eastAsia="zh-CN"/>
        </w:rPr>
        <w:t>狡猾   （1分）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ind w:right="0" w:rightChars="0"/>
        <w:textAlignment w:val="auto"/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二</w:t>
      </w:r>
      <w:r>
        <w:rPr>
          <w:rFonts w:ascii="宋体" w:hAnsi="宋体" w:cs="宋体" w:hint="eastAsia"/>
          <w:b w:val="0"/>
          <w:bCs w:val="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阅读《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霁虹桥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》(1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both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  <w:t>11.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建造历史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名称由来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桥梁结构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；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t>文物保护</w:t>
      </w:r>
      <w:r>
        <w:rPr>
          <w:b w:val="0"/>
          <w:bCs w:val="0"/>
          <w:sz w:val="24"/>
          <w:szCs w:val="24"/>
        </w:rPr>
        <w:t>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4</w:t>
      </w:r>
      <w:r>
        <w:rPr>
          <w:b w:val="0"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12.打比方      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eastAsia="zh-CN"/>
        </w:rPr>
        <w:t>列数字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b w:val="0"/>
          <w:bCs w:val="0"/>
          <w:sz w:val="24"/>
          <w:szCs w:val="24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  <w:t>13.具有人性化功能，桥梁设计时充分考虑到城市发展的需求。</w:t>
      </w:r>
      <w:r>
        <w:rPr>
          <w:b w:val="0"/>
          <w:bCs w:val="0"/>
          <w:sz w:val="24"/>
          <w:szCs w:val="24"/>
        </w:rPr>
        <w:t>（2分）</w:t>
      </w:r>
    </w:p>
    <w:p>
      <w:pPr>
        <w:pStyle w:val="NormalWeb"/>
        <w:wordWrap/>
        <w:spacing w:beforeAutospacing="0" w:afterAutospacing="0" w:line="360" w:lineRule="auto"/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b w:val="0"/>
          <w:bCs w:val="0"/>
          <w:sz w:val="24"/>
          <w:szCs w:val="24"/>
          <w:lang w:val="en-US" w:eastAsia="zh-CN"/>
        </w:rPr>
        <w:t>14.欧洲建筑风格：方尖碑是古埃及新王朝时期的建筑风格。 历史感：钢栏杆上镶嵌着“飞轮”标志的中东铁路路徽。</w:t>
      </w:r>
      <w:r>
        <w:rPr>
          <w:b w:val="0"/>
          <w:bCs w:val="0"/>
          <w:sz w:val="24"/>
          <w:szCs w:val="24"/>
        </w:rPr>
        <w:t>（2分）</w:t>
      </w:r>
    </w:p>
    <w:p>
      <w:pPr>
        <w:pStyle w:val="NormalWeb"/>
        <w:wordWrap/>
        <w:spacing w:beforeAutospacing="0" w:afterAutospacing="0" w:line="360" w:lineRule="auto"/>
        <w:rPr>
          <w:rFonts w:ascii="宋体" w:hAnsi="宋体" w:cs="宋体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（三）阅读《绳子那头》回答15-19题（14分）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15.买并涂防晒油；垫毛巾；让雪糕。（3分）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16.（1）环境   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b w:val="0"/>
          <w:bCs w:val="0"/>
          <w:sz w:val="24"/>
          <w:szCs w:val="24"/>
        </w:rPr>
        <w:t>分）  （2）炎热（恶劣）（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b w:val="0"/>
          <w:bCs w:val="0"/>
          <w:sz w:val="24"/>
          <w:szCs w:val="24"/>
        </w:rPr>
        <w:t>分）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17.（1）故作轻松掩饰自己的紧张害怕；安慰焦急的妻儿，消除他们的担心；为儿子长大了能帮自己而欣慰。（2分）（答出其中的两点即可）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（2）父亲的工作危险艰辛我心疼他；父亲身处险境，还安慰我和母亲，我很感动。（2分）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18.因自己长时间忽略父亲而愧疚；因父亲过早衰老而心酸。（2分）</w:t>
      </w:r>
      <w:r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19.父亲对儿子的疼爱，吃苦耐劳的品格，强烈的责任感，让儿子认为父亲是一个伟大的人。（3分）</w:t>
      </w:r>
      <w:r>
        <w:rPr>
          <w:b w:val="0"/>
          <w:bCs w:val="0"/>
          <w:sz w:val="24"/>
          <w:szCs w:val="24"/>
        </w:rPr>
        <w:br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）阅读《</w:t>
      </w:r>
      <w:r>
        <w:rPr>
          <w:rFonts w:hint="eastAsia"/>
        </w:rPr>
        <w:t>雪地上的天竺葵</w:t>
      </w:r>
      <w:r>
        <w:rPr>
          <w:rFonts w:hint="eastAsia"/>
          <w:lang w:eastAsia="zh-CN"/>
        </w:rPr>
        <w:t>》</w:t>
      </w:r>
      <w:r>
        <w:rPr>
          <w:rFonts w:hint="eastAsia"/>
          <w:lang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20.庄稼汉把天竺葵花扔到雪地上。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天竺葵在峡谷复活，叶子被山羊吃掉。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庄稼汉再也没碰那只破铁锅。（每空1分，共</w:t>
      </w:r>
      <w:r>
        <w:rPr>
          <w:b w:val="0"/>
          <w:bCs w:val="0"/>
          <w:sz w:val="24"/>
          <w:szCs w:val="24"/>
        </w:rPr>
        <w:t>3分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21.</w:t>
      </w:r>
      <w:r>
        <w:rPr>
          <w:rFonts w:hint="eastAsia"/>
          <w:b w:val="0"/>
          <w:bCs w:val="0"/>
          <w:sz w:val="24"/>
          <w:szCs w:val="24"/>
        </w:rPr>
        <w:t>天竺葵</w:t>
      </w:r>
      <w:r>
        <w:rPr>
          <w:rFonts w:hint="eastAsia"/>
          <w:b w:val="0"/>
          <w:bCs w:val="0"/>
          <w:sz w:val="24"/>
          <w:szCs w:val="24"/>
          <w:lang w:eastAsia="zh-CN"/>
        </w:rPr>
        <w:t>具有顽强的生命力，对未来充满希望和憧憬。它</w:t>
      </w:r>
      <w:r>
        <w:rPr>
          <w:rFonts w:hint="eastAsia"/>
          <w:b w:val="0"/>
          <w:bCs w:val="0"/>
          <w:sz w:val="24"/>
          <w:szCs w:val="24"/>
        </w:rPr>
        <w:t>在遭逢缺水、散落雪地、置身峡谷、被吃叶子等厄运时依旧顽强地生长</w:t>
      </w:r>
      <w:r>
        <w:rPr>
          <w:rFonts w:hint="eastAsia"/>
          <w:b w:val="0"/>
          <w:bCs w:val="0"/>
          <w:sz w:val="24"/>
          <w:szCs w:val="24"/>
          <w:lang w:eastAsia="zh-CN"/>
        </w:rPr>
        <w:t>，努力萌发嫩芽，绽放花朵，逆境中渴望获得新生</w:t>
      </w:r>
      <w:r>
        <w:rPr>
          <w:rFonts w:hint="eastAsia"/>
          <w:b w:val="0"/>
          <w:bCs w:val="0"/>
          <w:sz w:val="24"/>
          <w:szCs w:val="24"/>
        </w:rPr>
        <w:t>。</w:t>
      </w:r>
      <w:r>
        <w:rPr>
          <w:b w:val="0"/>
          <w:bCs w:val="0"/>
          <w:sz w:val="24"/>
          <w:szCs w:val="24"/>
        </w:rPr>
        <w:t>（3分）</w:t>
      </w:r>
      <w:r>
        <w:rPr>
          <w:rFonts w:hint="eastAsia"/>
          <w:b w:val="0"/>
          <w:bCs w:val="0"/>
          <w:sz w:val="24"/>
          <w:szCs w:val="24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22.（1）这是对庄稼汉的动作描写，（蹿、抓、扔三个动词）（1分），生动写出他扔锅的过程，体现了他愤怒的心情和脾气的暴躁，表达了他愤怒的心情。（1分）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2）运用比喻的修辞手法，把天竺葵花比作一滴鲜血，生动形象写出天竺葵花色泽的鲜艳和命运的悲惨。（1分）也写出庄稼汉对花的惋惜之情。（1分）（或答：这是对庄稼汉的动作和神态描写，停下、呆立，（1分）突出庄稼汉内心的震惊和对天竺葵的惋惜之情。（1分）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23.相同点：生存环境恶劣，生存状态艰难。（1分）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不同点：天竺葵以乐观的心态顽强地生长，对生活充满希望和信心，不论是在面对怎样的困境依然努力的活着。（1分）庄稼汉酗酒成性，对家人粗暴蛮横，以砸碎东西来排遣内心的愤怒、委屈和憋闷，对生活缺少信心和希望。（1分）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br/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24.参照中考作文阅分标准。    </w:t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720"/>
      <w:formProt w:val="0"/>
      <w:rtlGutter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A0B5F50"/>
    <w:multiLevelType w:val="singleLevel"/>
    <w:tmpl w:val="BA0B5F5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25ED2DC"/>
    <w:multiLevelType w:val="singleLevel"/>
    <w:tmpl w:val="E25ED2DC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30A9CB"/>
    <w:multiLevelType w:val="singleLevel"/>
    <w:tmpl w:val="3C30A9CB"/>
    <w:lvl w:ilvl="0">
      <w:start w:val="2"/>
      <w:numFmt w:val="chineseCounting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oNotTrackMoves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32"/>
    <w:rsid w:val="00022101"/>
    <w:rsid w:val="000B1617"/>
    <w:rsid w:val="000E1438"/>
    <w:rsid w:val="001616DE"/>
    <w:rsid w:val="001E1BA3"/>
    <w:rsid w:val="004F08D5"/>
    <w:rsid w:val="005F302D"/>
    <w:rsid w:val="006465F3"/>
    <w:rsid w:val="00822BCC"/>
    <w:rsid w:val="00833778"/>
    <w:rsid w:val="00891740"/>
    <w:rsid w:val="00AF1CE2"/>
    <w:rsid w:val="00B13BE1"/>
    <w:rsid w:val="00B85BA0"/>
    <w:rsid w:val="00BA1792"/>
    <w:rsid w:val="00C572A3"/>
    <w:rsid w:val="00CE3BD9"/>
    <w:rsid w:val="00E96FEA"/>
    <w:rsid w:val="00F63F35"/>
    <w:rsid w:val="00F82532"/>
    <w:rsid w:val="017151CC"/>
    <w:rsid w:val="061A3F72"/>
    <w:rsid w:val="0671539E"/>
    <w:rsid w:val="117D284B"/>
    <w:rsid w:val="15947503"/>
    <w:rsid w:val="15BE58EF"/>
    <w:rsid w:val="18334567"/>
    <w:rsid w:val="26983909"/>
    <w:rsid w:val="26E30D62"/>
    <w:rsid w:val="2EF55CE2"/>
    <w:rsid w:val="319B5E1B"/>
    <w:rsid w:val="3327513F"/>
    <w:rsid w:val="332B6A64"/>
    <w:rsid w:val="3419689C"/>
    <w:rsid w:val="37131F5A"/>
    <w:rsid w:val="3A3B0697"/>
    <w:rsid w:val="3E5542D6"/>
    <w:rsid w:val="3E604335"/>
    <w:rsid w:val="3FA95BB9"/>
    <w:rsid w:val="47950F19"/>
    <w:rsid w:val="53805C16"/>
    <w:rsid w:val="55881BD9"/>
    <w:rsid w:val="6079627E"/>
    <w:rsid w:val="60CE4A57"/>
    <w:rsid w:val="68BB3E04"/>
    <w:rsid w:val="692346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semiHidden="0" w:unhideWhenUsed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 w:semiHidden="0" w:unhideWhenUsed="0" w:qFormat="1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="Times New Roman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uppressLineNumbers/>
      <w:spacing w:before="120" w:after="120"/>
    </w:pPr>
    <w:rPr>
      <w:i/>
      <w:iCs/>
    </w:rPr>
  </w:style>
  <w:style w:type="paragraph" w:styleId="BodyText">
    <w:name w:val="Body Text"/>
    <w:basedOn w:val="Normal"/>
    <w:link w:val="Char"/>
    <w:uiPriority w:val="99"/>
    <w:qFormat/>
    <w:pPr>
      <w:spacing w:after="140" w:line="288" w:lineRule="auto"/>
    </w:p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">
    <w:name w:val="List"/>
    <w:basedOn w:val="BodyText"/>
    <w:uiPriority w:val="99"/>
    <w:qFormat/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">
    <w:name w:val="特别强调"/>
    <w:uiPriority w:val="99"/>
    <w:qFormat/>
    <w:rPr>
      <w:b/>
      <w:bCs/>
    </w:rPr>
  </w:style>
  <w:style w:type="paragraph" w:customStyle="1" w:styleId="a0">
    <w:name w:val="标题样式"/>
    <w:basedOn w:val="Normal"/>
    <w:next w:val="BodyText"/>
    <w:uiPriority w:val="99"/>
    <w:qFormat/>
    <w:pPr>
      <w:keepNext/>
      <w:spacing w:before="240" w:after="120"/>
    </w:pPr>
    <w:rPr>
      <w:rFonts w:ascii="Arial" w:eastAsia="微软雅黑" w:hAnsi="Arial" w:cs="Arial"/>
      <w:sz w:val="28"/>
      <w:szCs w:val="28"/>
    </w:rPr>
  </w:style>
  <w:style w:type="character" w:customStyle="1" w:styleId="Char">
    <w:name w:val="正文文本 Char"/>
    <w:basedOn w:val="DefaultParagraphFont"/>
    <w:link w:val="BodyText"/>
    <w:uiPriority w:val="99"/>
    <w:semiHidden/>
    <w:qFormat/>
    <w:locked/>
    <w:rPr>
      <w:kern w:val="0"/>
      <w:sz w:val="24"/>
      <w:szCs w:val="24"/>
    </w:rPr>
  </w:style>
  <w:style w:type="paragraph" w:customStyle="1" w:styleId="a1">
    <w:name w:val="索引"/>
    <w:basedOn w:val="Normal"/>
    <w:uiPriority w:val="99"/>
    <w:qFormat/>
    <w:pPr>
      <w:suppressLineNumbers/>
    </w:p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842</Characters>
  <Application>Microsoft Office Word</Application>
  <DocSecurity>0</DocSecurity>
  <Lines>7</Lines>
  <Paragraphs>1</Paragraphs>
  <ScaleCrop>false</ScaleCrop>
  <Company>TDDN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</cp:revision>
  <cp:lastPrinted>2017-12-15T00:12:00Z</cp:lastPrinted>
  <dcterms:created xsi:type="dcterms:W3CDTF">2017-12-15T07:36:00Z</dcterms:created>
  <dcterms:modified xsi:type="dcterms:W3CDTF">2021-04-14T06:35:40Z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