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pPr>
      <w:r>
        <w:drawing>
          <wp:inline distT="0" distB="0" distL="114300" distR="114300">
            <wp:extent cx="5969000" cy="8865870"/>
            <wp:effectExtent l="0" t="0" r="12700"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969000" cy="8865870"/>
                    </a:xfrm>
                    <a:prstGeom prst="rect">
                      <a:avLst/>
                    </a:prstGeom>
                    <a:noFill/>
                    <a:ln>
                      <a:noFill/>
                    </a:ln>
                  </pic:spPr>
                </pic:pic>
              </a:graphicData>
            </a:graphic>
          </wp:inline>
        </w:drawing>
      </w:r>
      <w:r>
        <w:drawing>
          <wp:inline distT="0" distB="0" distL="114300" distR="114300">
            <wp:extent cx="5969000" cy="8973185"/>
            <wp:effectExtent l="0" t="0" r="12700" b="184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969000" cy="8973185"/>
                    </a:xfrm>
                    <a:prstGeom prst="rect">
                      <a:avLst/>
                    </a:prstGeom>
                    <a:noFill/>
                    <a:ln>
                      <a:noFill/>
                    </a:ln>
                  </pic:spPr>
                </pic:pic>
              </a:graphicData>
            </a:graphic>
          </wp:inline>
        </w:drawing>
      </w:r>
      <w:r>
        <w:drawing>
          <wp:inline distT="0" distB="0" distL="114300" distR="114300">
            <wp:extent cx="5969000" cy="8813800"/>
            <wp:effectExtent l="0" t="0" r="1270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969000" cy="8813800"/>
                    </a:xfrm>
                    <a:prstGeom prst="rect">
                      <a:avLst/>
                    </a:prstGeom>
                    <a:noFill/>
                    <a:ln>
                      <a:noFill/>
                    </a:ln>
                  </pic:spPr>
                </pic:pic>
              </a:graphicData>
            </a:graphic>
          </wp:inline>
        </w:drawing>
      </w:r>
      <w:r>
        <w:drawing>
          <wp:inline distT="0" distB="0" distL="114300" distR="114300">
            <wp:extent cx="5969000" cy="8237220"/>
            <wp:effectExtent l="0" t="0" r="1270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969000" cy="8237220"/>
                    </a:xfrm>
                    <a:prstGeom prst="rect">
                      <a:avLst/>
                    </a:prstGeom>
                    <a:noFill/>
                    <a:ln>
                      <a:noFill/>
                    </a:ln>
                  </pic:spPr>
                </pic:pic>
              </a:graphicData>
            </a:graphic>
          </wp:inline>
        </w:drawing>
      </w:r>
      <w:r>
        <w:drawing>
          <wp:inline distT="0" distB="0" distL="114300" distR="114300">
            <wp:extent cx="5969000" cy="8649970"/>
            <wp:effectExtent l="0" t="0" r="12700" b="177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969000" cy="8649970"/>
                    </a:xfrm>
                    <a:prstGeom prst="rect">
                      <a:avLst/>
                    </a:prstGeom>
                    <a:noFill/>
                    <a:ln>
                      <a:noFill/>
                    </a:ln>
                  </pic:spPr>
                </pic:pic>
              </a:graphicData>
            </a:graphic>
          </wp:inline>
        </w:drawing>
      </w:r>
      <w:r>
        <w:drawing>
          <wp:inline distT="0" distB="0" distL="114300" distR="114300">
            <wp:extent cx="5969000" cy="9007475"/>
            <wp:effectExtent l="0" t="0" r="12700"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969000" cy="9007475"/>
                    </a:xfrm>
                    <a:prstGeom prst="rect">
                      <a:avLst/>
                    </a:prstGeom>
                    <a:noFill/>
                    <a:ln>
                      <a:noFill/>
                    </a:ln>
                  </pic:spPr>
                </pic:pic>
              </a:graphicData>
            </a:graphic>
          </wp:inline>
        </w:drawing>
      </w:r>
    </w:p>
    <w:p>
      <w:pPr>
        <w:jc w:val="center"/>
        <w:rPr>
          <w:rFonts w:ascii="方正小标宋简体" w:hAnsi="方正小标宋简体" w:eastAsia="方正小标宋简体" w:cs="方正小标宋简体"/>
          <w:color w:val="000000" w:themeColor="text1"/>
          <w:sz w:val="36"/>
          <w:szCs w:val="36"/>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娄底市2021年初中毕业学业考试冲刺卷（五）</w:t>
      </w:r>
    </w:p>
    <w:p>
      <w:pPr>
        <w:jc w:val="center"/>
        <w:rPr>
          <w:rFonts w:ascii="方正小标宋简体" w:hAnsi="方正小标宋简体" w:eastAsia="方正小标宋简体" w:cs="方正小标宋简体"/>
          <w:i/>
          <w:iCs/>
          <w:color w:val="000000" w:themeColor="text1"/>
          <w:sz w:val="36"/>
          <w:szCs w:val="36"/>
          <w14:textFill>
            <w14:solidFill>
              <w14:schemeClr w14:val="tx1"/>
            </w14:solidFill>
          </w14:textFill>
        </w:rPr>
      </w:pPr>
      <w:r>
        <w:rPr>
          <w:rFonts w:hint="eastAsia" w:ascii="方正小标宋简体" w:hAnsi="方正小标宋简体" w:eastAsia="方正小标宋简体" w:cs="方正小标宋简体"/>
          <w:color w:val="000000" w:themeColor="text1"/>
          <w:sz w:val="36"/>
          <w:szCs w:val="36"/>
          <w14:textFill>
            <w14:solidFill>
              <w14:schemeClr w14:val="tx1"/>
            </w14:solidFill>
          </w14:textFill>
        </w:rPr>
        <w:t>道德与法治参考答案</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p>
    <w:p>
      <w:pPr>
        <w:ind w:left="273" w:leftChars="130"/>
        <w:rPr>
          <w:rFonts w:ascii="Times New Roman" w:hAnsi="Times New Roman" w:eastAsia="新宋体" w:cs="新宋体"/>
          <w:color w:val="000000" w:themeColor="text1"/>
          <w:szCs w:val="21"/>
          <w:lang w:bidi="ar"/>
          <w14:textFill>
            <w14:solidFill>
              <w14:schemeClr w14:val="tx1"/>
            </w14:solidFill>
          </w14:textFill>
        </w:rPr>
      </w:pP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1—5   CCAAC    6—10  ABDDB   11—15  AAADC   16—20  CBBBA</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21—25  FTTTT</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26.（1）①在家里，我们要尊敬父母，孝亲敬长；②家庭成员之间相互理解、信任、体谅和包容；③有效交流和沟通，可以增进理解，化解矛盾和冲突；④以良好的心态面对父母，使亲情更浓，使家庭更和睦；</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hint="eastAsia" w:ascii="Times New Roman" w:hAnsi="Times New Roman" w:eastAsia="新宋体" w:cs="Times New Roman"/>
          <w:color w:val="000000" w:themeColor="text1"/>
          <w:szCs w:val="21"/>
          <w:lang w:bidi="ar"/>
          <w14:textFill>
            <w14:solidFill>
              <w14:schemeClr w14:val="tx1"/>
            </w14:solidFill>
          </w14:textFill>
        </w:rPr>
        <w:t>2</w:t>
      </w:r>
      <w:r>
        <w:rPr>
          <w:rFonts w:hint="eastAsia" w:ascii="Times New Roman" w:hAnsi="Times New Roman" w:eastAsia="新宋体" w:cs="新宋体"/>
          <w:color w:val="000000" w:themeColor="text1"/>
          <w:szCs w:val="21"/>
          <w:lang w:bidi="ar"/>
          <w14:textFill>
            <w14:solidFill>
              <w14:schemeClr w14:val="tx1"/>
            </w14:solidFill>
          </w14:textFill>
        </w:rPr>
        <w:t>）网友和女孩因张启辉能积极面对生命中的挫折而感动。</w:t>
      </w:r>
      <w:r>
        <w:rPr>
          <w:rFonts w:ascii="Cambria Math" w:hAnsi="Cambria Math" w:eastAsia="Cambria Math" w:cs="Cambria Math"/>
          <w:color w:val="000000" w:themeColor="text1"/>
          <w:szCs w:val="21"/>
          <w:lang w:bidi="ar"/>
          <w14:textFill>
            <w14:solidFill>
              <w14:schemeClr w14:val="tx1"/>
            </w14:solidFill>
          </w14:textFill>
        </w:rPr>
        <w:t>①</w:t>
      </w:r>
      <w:r>
        <w:rPr>
          <w:rFonts w:hint="eastAsia" w:ascii="Times New Roman" w:hAnsi="Times New Roman" w:eastAsia="新宋体" w:cs="新宋体"/>
          <w:color w:val="000000" w:themeColor="text1"/>
          <w:szCs w:val="21"/>
          <w:lang w:bidi="ar"/>
          <w14:textFill>
            <w14:solidFill>
              <w14:schemeClr w14:val="tx1"/>
            </w14:solidFill>
          </w14:textFill>
        </w:rPr>
        <w:t>生活的道路并不总是平坦的，人生难免遇到挫折；</w:t>
      </w:r>
      <w:r>
        <w:rPr>
          <w:rFonts w:ascii="Cambria Math" w:hAnsi="Cambria Math" w:eastAsia="Cambria Math" w:cs="Cambria Math"/>
          <w:color w:val="000000" w:themeColor="text1"/>
          <w:szCs w:val="21"/>
          <w:lang w:bidi="ar"/>
          <w14:textFill>
            <w14:solidFill>
              <w14:schemeClr w14:val="tx1"/>
            </w14:solidFill>
          </w14:textFill>
        </w:rPr>
        <w:t>②</w:t>
      </w:r>
      <w:r>
        <w:rPr>
          <w:rFonts w:hint="eastAsia" w:ascii="Times New Roman" w:hAnsi="Times New Roman" w:eastAsia="新宋体" w:cs="新宋体"/>
          <w:color w:val="000000" w:themeColor="text1"/>
          <w:szCs w:val="21"/>
          <w:lang w:bidi="ar"/>
          <w14:textFill>
            <w14:solidFill>
              <w14:schemeClr w14:val="tx1"/>
            </w14:solidFill>
          </w14:textFill>
        </w:rPr>
        <w:t>生活中的挫折是我们生命成长的一部分，得意时，挫折让我们清醒；失意时，挫折让我们获得丰富的生活经验；</w:t>
      </w:r>
      <w:r>
        <w:rPr>
          <w:rFonts w:ascii="Cambria Math" w:hAnsi="Cambria Math" w:eastAsia="Cambria Math" w:cs="Cambria Math"/>
          <w:color w:val="000000" w:themeColor="text1"/>
          <w:szCs w:val="21"/>
          <w:lang w:bidi="ar"/>
          <w14:textFill>
            <w14:solidFill>
              <w14:schemeClr w14:val="tx1"/>
            </w14:solidFill>
          </w14:textFill>
        </w:rPr>
        <w:t>③</w:t>
      </w:r>
      <w:r>
        <w:rPr>
          <w:rFonts w:hint="eastAsia" w:ascii="Times New Roman" w:hAnsi="Times New Roman" w:eastAsia="新宋体" w:cs="新宋体"/>
          <w:color w:val="000000" w:themeColor="text1"/>
          <w:szCs w:val="21"/>
          <w:lang w:bidi="ar"/>
          <w14:textFill>
            <w14:solidFill>
              <w14:schemeClr w14:val="tx1"/>
            </w14:solidFill>
          </w14:textFill>
        </w:rPr>
        <w:t>面对挫折，我们要及时调整自己，正确对待挫折。</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27.（</w:t>
      </w:r>
      <w:r>
        <w:rPr>
          <w:rFonts w:ascii="Times New Roman" w:hAnsi="Times New Roman" w:eastAsia="新宋体" w:cs="Times New Roman"/>
          <w:color w:val="000000" w:themeColor="text1"/>
          <w:szCs w:val="21"/>
          <w:lang w:bidi="ar"/>
          <w14:textFill>
            <w14:solidFill>
              <w14:schemeClr w14:val="tx1"/>
            </w14:solidFill>
          </w14:textFill>
        </w:rPr>
        <w:t>1</w:t>
      </w:r>
      <w:r>
        <w:rPr>
          <w:rFonts w:hint="eastAsia" w:ascii="Times New Roman" w:hAnsi="Times New Roman" w:eastAsia="新宋体" w:cs="新宋体"/>
          <w:color w:val="000000" w:themeColor="text1"/>
          <w:szCs w:val="21"/>
          <w:lang w:bidi="ar"/>
          <w14:textFill>
            <w14:solidFill>
              <w14:schemeClr w14:val="tx1"/>
            </w14:solidFill>
          </w14:textFill>
        </w:rPr>
        <w:t>）中国力量是指全国各族人民大团结的力量；中国精神是指以爱国主义为核心的民族精神和以改革创新为核心的时代精神。</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2</w:t>
      </w:r>
      <w:r>
        <w:rPr>
          <w:rFonts w:hint="eastAsia" w:ascii="Times New Roman" w:hAnsi="Times New Roman" w:eastAsia="新宋体" w:cs="新宋体"/>
          <w:color w:val="000000" w:themeColor="text1"/>
          <w:szCs w:val="21"/>
          <w:lang w:bidi="ar"/>
          <w14:textFill>
            <w14:solidFill>
              <w14:schemeClr w14:val="tx1"/>
            </w14:solidFill>
          </w14:textFill>
        </w:rPr>
        <w:t>）爱国、敬业、友善。</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28.（1）国土安全、经济安全、社会安全。</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①十三届全国人大常委会通过香港国安法，说明全国人大及其常委会行使立法权，我国实行良法之治；②广泛听取和尊重香港各方面的意见和建议，说明在立法过程中做到了科学立法、民主立法；③制定香港国安法为维护国家安全，确保一国两制行稳致远、香港长期繁荣稳定提供法律保障。</w:t>
      </w:r>
    </w:p>
    <w:p>
      <w:pPr>
        <w:ind w:left="273" w:leftChars="130"/>
        <w:rPr>
          <w:rFonts w:ascii="Times New Roman" w:hAnsi="Times New Roman" w:eastAsia="新宋体" w:cs="新宋体"/>
          <w:color w:val="000000" w:themeColor="text1"/>
          <w:szCs w:val="21"/>
          <w:lang w:bidi="ar"/>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3）①我们要增强国家安全意识，树立国家安全利益高于一切的观念，自觉维护国家安全。②我们可以通过各种方式为维护国家安全贡献智慧和力量，既可以为维护国家安全工作提供便利和协助，也可以为维护国家安全积极建言献策；既可以检举、也可以监督和维护国家安全工作的开展。③我们要认真学习有关国家安全和保密工作的法律法规、规章制度，增强维护国家安全的法治意识。④严格遵守有关国家安全的法律规定，积极履行维护国家安全的法定义务，不断提高防范意识和防范能力，善于识别危害国家安全的各种伪装，为维护国家安全贡献自己的力量。</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29.（</w:t>
      </w:r>
      <w:r>
        <w:rPr>
          <w:rFonts w:ascii="Times New Roman" w:hAnsi="Times New Roman" w:eastAsia="新宋体" w:cs="Times New Roman"/>
          <w:color w:val="000000" w:themeColor="text1"/>
          <w:szCs w:val="21"/>
          <w:lang w:bidi="ar"/>
          <w14:textFill>
            <w14:solidFill>
              <w14:schemeClr w14:val="tx1"/>
            </w14:solidFill>
          </w14:textFill>
        </w:rPr>
        <w:t>1</w:t>
      </w: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A</w:t>
      </w:r>
      <w:r>
        <w:rPr>
          <w:rFonts w:ascii="Cambria Math" w:hAnsi="Cambria Math" w:eastAsia="Cambria Math" w:cs="Cambria Math"/>
          <w:color w:val="000000" w:themeColor="text1"/>
          <w:szCs w:val="21"/>
          <w:lang w:bidi="ar"/>
          <w14:textFill>
            <w14:solidFill>
              <w14:schemeClr w14:val="tx1"/>
            </w14:solidFill>
          </w14:textFill>
        </w:rPr>
        <w:t>①</w:t>
      </w: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B</w:t>
      </w:r>
      <w:r>
        <w:rPr>
          <w:rFonts w:ascii="Cambria Math" w:hAnsi="Cambria Math" w:eastAsia="Cambria Math" w:cs="Cambria Math"/>
          <w:color w:val="000000" w:themeColor="text1"/>
          <w:szCs w:val="21"/>
          <w:lang w:bidi="ar"/>
          <w14:textFill>
            <w14:solidFill>
              <w14:schemeClr w14:val="tx1"/>
            </w14:solidFill>
          </w14:textFill>
        </w:rPr>
        <w:t>④</w:t>
      </w: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C</w:t>
      </w:r>
      <w:r>
        <w:rPr>
          <w:rFonts w:ascii="Cambria Math" w:hAnsi="Cambria Math" w:eastAsia="Cambria Math" w:cs="Cambria Math"/>
          <w:color w:val="000000" w:themeColor="text1"/>
          <w:szCs w:val="21"/>
          <w:lang w:bidi="ar"/>
          <w14:textFill>
            <w14:solidFill>
              <w14:schemeClr w14:val="tx1"/>
            </w14:solidFill>
          </w14:textFill>
        </w:rPr>
        <w:t>②</w:t>
      </w: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D</w:t>
      </w:r>
      <w:r>
        <w:rPr>
          <w:rFonts w:ascii="Cambria Math" w:hAnsi="Cambria Math" w:eastAsia="Cambria Math" w:cs="Cambria Math"/>
          <w:color w:val="000000" w:themeColor="text1"/>
          <w:szCs w:val="21"/>
          <w:lang w:bidi="ar"/>
          <w14:textFill>
            <w14:solidFill>
              <w14:schemeClr w14:val="tx1"/>
            </w14:solidFill>
          </w14:textFill>
        </w:rPr>
        <w:t>③</w:t>
      </w:r>
      <w:r>
        <w:rPr>
          <w:rFonts w:hint="eastAsia" w:ascii="Times New Roman" w:hAnsi="Times New Roman" w:eastAsia="新宋体" w:cs="新宋体"/>
          <w:color w:val="000000" w:themeColor="text1"/>
          <w:szCs w:val="21"/>
          <w:lang w:bidi="ar"/>
          <w14:textFill>
            <w14:solidFill>
              <w14:schemeClr w14:val="tx1"/>
            </w14:solidFill>
          </w14:textFill>
        </w:rPr>
        <w:t>。</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2</w:t>
      </w:r>
      <w:r>
        <w:rPr>
          <w:rFonts w:hint="eastAsia" w:ascii="Times New Roman" w:hAnsi="Times New Roman" w:eastAsia="新宋体" w:cs="新宋体"/>
          <w:color w:val="000000" w:themeColor="text1"/>
          <w:szCs w:val="21"/>
          <w:lang w:bidi="ar"/>
          <w14:textFill>
            <w14:solidFill>
              <w14:schemeClr w14:val="tx1"/>
            </w14:solidFill>
          </w14:textFill>
        </w:rPr>
        <w:t>）①有利于规范人们的行为；②有利于保障垃圾分类的顺利进行；③有利于建设法治中国。</w:t>
      </w:r>
    </w:p>
    <w:p>
      <w:pPr>
        <w:ind w:left="273" w:leftChars="130"/>
        <w:rPr>
          <w:color w:val="000000" w:themeColor="text1"/>
          <w14:textFill>
            <w14:solidFill>
              <w14:schemeClr w14:val="tx1"/>
            </w14:solidFill>
          </w14:textFill>
        </w:rPr>
      </w:pPr>
      <w:r>
        <w:rPr>
          <w:rFonts w:hint="eastAsia" w:ascii="Times New Roman" w:hAnsi="Times New Roman" w:eastAsia="新宋体" w:cs="新宋体"/>
          <w:color w:val="000000" w:themeColor="text1"/>
          <w:szCs w:val="21"/>
          <w:lang w:bidi="ar"/>
          <w14:textFill>
            <w14:solidFill>
              <w14:schemeClr w14:val="tx1"/>
            </w14:solidFill>
          </w14:textFill>
        </w:rPr>
        <w:t>（</w:t>
      </w:r>
      <w:r>
        <w:rPr>
          <w:rFonts w:ascii="Times New Roman" w:hAnsi="Times New Roman" w:eastAsia="新宋体" w:cs="Times New Roman"/>
          <w:color w:val="000000" w:themeColor="text1"/>
          <w:szCs w:val="21"/>
          <w:lang w:bidi="ar"/>
          <w14:textFill>
            <w14:solidFill>
              <w14:schemeClr w14:val="tx1"/>
            </w14:solidFill>
          </w14:textFill>
        </w:rPr>
        <w:t>3</w:t>
      </w:r>
      <w:r>
        <w:rPr>
          <w:rFonts w:hint="eastAsia" w:ascii="Times New Roman" w:hAnsi="Times New Roman" w:eastAsia="新宋体" w:cs="新宋体"/>
          <w:color w:val="000000" w:themeColor="text1"/>
          <w:szCs w:val="21"/>
          <w:lang w:bidi="ar"/>
          <w14:textFill>
            <w14:solidFill>
              <w14:schemeClr w14:val="tx1"/>
            </w14:solidFill>
          </w14:textFill>
        </w:rPr>
        <w:t>）①垃圾变成宝，分类少不了；②垃圾分类，校园更美；③垃圾分类，举手之劳。</w:t>
      </w:r>
    </w:p>
    <w:p>
      <w:pPr>
        <w:rPr>
          <w:color w:val="000000" w:themeColor="text1"/>
          <w14:textFill>
            <w14:solidFill>
              <w14:schemeClr w14:val="tx1"/>
            </w14:solidFill>
          </w14:textFill>
        </w:rPr>
      </w:pPr>
      <w:r>
        <w:rPr>
          <w:rFonts w:hint="eastAsia"/>
          <w:color w:val="000000" w:themeColor="text1"/>
          <w14:textFill>
            <w14:solidFill>
              <w14:schemeClr w14:val="tx1"/>
            </w14:solidFill>
          </w14:textFill>
        </w:rPr>
        <w:t xml:space="preserve"> </w:t>
      </w:r>
      <w:bookmarkStart w:id="0" w:name="_GoBack"/>
      <w:bookmarkEnd w:id="0"/>
    </w:p>
    <w:sectPr>
      <w:headerReference r:id="rId3" w:type="first"/>
      <w:pgSz w:w="11906" w:h="16838"/>
      <w:pgMar w:top="1418" w:right="1418" w:bottom="1418"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小标宋简体">
    <w:panose1 w:val="02010601030101010101"/>
    <w:charset w:val="86"/>
    <w:family w:val="auto"/>
    <w:pitch w:val="default"/>
    <w:sig w:usb0="00000001" w:usb1="080E0000" w:usb2="00000000" w:usb3="00000000" w:csb0="00040000" w:csb1="00000000"/>
  </w:font>
  <w:font w:name="新宋体">
    <w:panose1 w:val="02010609030101010101"/>
    <w:charset w:val="86"/>
    <w:family w:val="auto"/>
    <w:pitch w:val="default"/>
    <w:sig w:usb0="00000003" w:usb1="288F0000" w:usb2="00000006" w:usb3="00000000" w:csb0="00040001" w:csb1="00000000"/>
  </w:font>
  <w:font w:name="Cambria Math">
    <w:panose1 w:val="02040503050406030204"/>
    <w:charset w:val="01"/>
    <w:family w:val="roman"/>
    <w:pitch w:val="default"/>
    <w:sig w:usb0="E00002FF" w:usb1="420024FF" w:usb2="00000000" w:usb3="00000000" w:csb0="2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drawing>
        <wp:anchor distT="0" distB="0" distL="114300" distR="114300" simplePos="0" relativeHeight="251658240" behindDoc="0" locked="0" layoutInCell="1" allowOverlap="1">
          <wp:simplePos x="0" y="0"/>
          <wp:positionH relativeFrom="page">
            <wp:posOffset>127000</wp:posOffset>
          </wp:positionH>
          <wp:positionV relativeFrom="page">
            <wp:posOffset>12700000</wp:posOffset>
          </wp:positionV>
          <wp:extent cx="342900" cy="266700"/>
          <wp:effectExtent l="0" t="0" r="0" b="0"/>
          <wp:wrapNone/>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
                  <a:stretch>
                    <a:fillRect/>
                  </a:stretch>
                </pic:blipFill>
                <pic:spPr>
                  <a:xfrm>
                    <a:off x="0" y="0"/>
                    <a:ext cx="342900" cy="26670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8A747AC"/>
    <w:rsid w:val="000F7F57"/>
    <w:rsid w:val="00251199"/>
    <w:rsid w:val="15BA647C"/>
    <w:rsid w:val="625B11C8"/>
    <w:rsid w:val="6DB175EF"/>
    <w:rsid w:val="78A747A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学科网（北京）股份有限公司</Company>
  <Pages>3</Pages>
  <Words>136</Words>
  <Characters>777</Characters>
  <Lines>6</Lines>
  <Paragraphs>1</Paragraphs>
  <TotalTime>0</TotalTime>
  <ScaleCrop>false</ScaleCrop>
  <LinksUpToDate>false</LinksUpToDate>
  <CharactersWithSpaces>912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2021-08-17T10:01:00Z</dcterms:created>
  <dc:creator>DELL</dc:creator>
  <cp:lastModifiedBy>老倪膏药(招代理)</cp:lastModifiedBy>
  <dcterms:modified xsi:type="dcterms:W3CDTF">2022-01-23T12:46:41Z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