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auto"/>
      </w:pPr>
      <w:r>
        <w:drawing>
          <wp:inline distT="0" distB="0" distL="114300" distR="114300">
            <wp:extent cx="5969000" cy="8077835"/>
            <wp:effectExtent l="0" t="0" r="12700" b="184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969000" cy="8077835"/>
                    </a:xfrm>
                    <a:prstGeom prst="rect">
                      <a:avLst/>
                    </a:prstGeom>
                    <a:noFill/>
                    <a:ln>
                      <a:noFill/>
                    </a:ln>
                  </pic:spPr>
                </pic:pic>
              </a:graphicData>
            </a:graphic>
          </wp:inline>
        </w:drawing>
      </w:r>
      <w:r>
        <w:drawing>
          <wp:inline distT="0" distB="0" distL="114300" distR="114300">
            <wp:extent cx="5969000" cy="8217535"/>
            <wp:effectExtent l="0" t="0" r="12700" b="1206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5969000" cy="8217535"/>
                    </a:xfrm>
                    <a:prstGeom prst="rect">
                      <a:avLst/>
                    </a:prstGeom>
                    <a:noFill/>
                    <a:ln>
                      <a:noFill/>
                    </a:ln>
                  </pic:spPr>
                </pic:pic>
              </a:graphicData>
            </a:graphic>
          </wp:inline>
        </w:drawing>
      </w:r>
      <w:r>
        <w:drawing>
          <wp:inline distT="0" distB="0" distL="114300" distR="114300">
            <wp:extent cx="5969000" cy="8154670"/>
            <wp:effectExtent l="0" t="0" r="12700" b="177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5969000" cy="8154670"/>
                    </a:xfrm>
                    <a:prstGeom prst="rect">
                      <a:avLst/>
                    </a:prstGeom>
                    <a:noFill/>
                    <a:ln>
                      <a:noFill/>
                    </a:ln>
                  </pic:spPr>
                </pic:pic>
              </a:graphicData>
            </a:graphic>
          </wp:inline>
        </w:drawing>
      </w:r>
      <w:r>
        <w:drawing>
          <wp:inline distT="0" distB="0" distL="114300" distR="114300">
            <wp:extent cx="5969000" cy="8297545"/>
            <wp:effectExtent l="0" t="0" r="12700" b="825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5969000" cy="8297545"/>
                    </a:xfrm>
                    <a:prstGeom prst="rect">
                      <a:avLst/>
                    </a:prstGeom>
                    <a:noFill/>
                    <a:ln>
                      <a:noFill/>
                    </a:ln>
                  </pic:spPr>
                </pic:pic>
              </a:graphicData>
            </a:graphic>
          </wp:inline>
        </w:drawing>
      </w:r>
      <w:r>
        <w:drawing>
          <wp:inline distT="0" distB="0" distL="114300" distR="114300">
            <wp:extent cx="5969000" cy="8910955"/>
            <wp:effectExtent l="0" t="0" r="12700" b="444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5969000" cy="8910955"/>
                    </a:xfrm>
                    <a:prstGeom prst="rect">
                      <a:avLst/>
                    </a:prstGeom>
                    <a:noFill/>
                    <a:ln>
                      <a:noFill/>
                    </a:ln>
                  </pic:spPr>
                </pic:pic>
              </a:graphicData>
            </a:graphic>
          </wp:inline>
        </w:drawing>
      </w:r>
      <w:r>
        <w:drawing>
          <wp:inline distT="0" distB="0" distL="114300" distR="114300">
            <wp:extent cx="5969000" cy="9090660"/>
            <wp:effectExtent l="0" t="0" r="12700" b="1524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5969000" cy="9090660"/>
                    </a:xfrm>
                    <a:prstGeom prst="rect">
                      <a:avLst/>
                    </a:prstGeom>
                    <a:noFill/>
                    <a:ln>
                      <a:noFill/>
                    </a:ln>
                  </pic:spPr>
                </pic:pic>
              </a:graphicData>
            </a:graphic>
          </wp:inline>
        </w:drawing>
      </w:r>
    </w:p>
    <w:p>
      <w:pPr>
        <w:jc w:val="center"/>
        <w:rPr>
          <w:rFonts w:ascii="方正小标宋简体" w:hAnsi="方正小标宋简体" w:eastAsia="方正小标宋简体" w:cs="方正小标宋简体"/>
          <w:color w:val="000000" w:themeColor="text1"/>
          <w:sz w:val="36"/>
          <w:szCs w:val="36"/>
          <w14:textFill>
            <w14:solidFill>
              <w14:schemeClr w14:val="tx1"/>
            </w14:solidFill>
          </w14:textFill>
        </w:rPr>
      </w:pPr>
      <w:r>
        <w:rPr>
          <w:rFonts w:hint="eastAsia" w:ascii="方正小标宋简体" w:hAnsi="方正小标宋简体" w:eastAsia="方正小标宋简体" w:cs="方正小标宋简体"/>
          <w:color w:val="000000" w:themeColor="text1"/>
          <w:sz w:val="36"/>
          <w:szCs w:val="36"/>
          <w14:textFill>
            <w14:solidFill>
              <w14:schemeClr w14:val="tx1"/>
            </w14:solidFill>
          </w14:textFill>
        </w:rPr>
        <w:t>娄底市2021年初中毕业学业考试冲刺卷（一）</w:t>
      </w:r>
    </w:p>
    <w:p>
      <w:pPr>
        <w:pStyle w:val="2"/>
        <w:autoSpaceDE w:val="0"/>
        <w:autoSpaceDN w:val="0"/>
        <w:spacing w:line="400" w:lineRule="exact"/>
        <w:ind w:left="0"/>
        <w:rPr>
          <w:rFonts w:ascii="方正书宋简体" w:hAnsi="方正书宋简体" w:eastAsia="方正书宋简体" w:cs="方正书宋简体"/>
          <w:color w:val="000000" w:themeColor="text1"/>
          <w:spacing w:val="-22"/>
          <w:sz w:val="21"/>
          <w:szCs w:val="21"/>
          <w14:textFill>
            <w14:solidFill>
              <w14:schemeClr w14:val="tx1"/>
            </w14:solidFill>
          </w14:textFill>
        </w:rPr>
      </w:pPr>
      <w:r>
        <w:rPr>
          <w:rFonts w:hint="eastAsia" w:ascii="方正小标宋简体" w:hAnsi="方正小标宋简体" w:eastAsia="方正小标宋简体" w:cs="方正小标宋简体"/>
          <w:color w:val="000000" w:themeColor="text1"/>
          <w:lang w:eastAsia="zh-CN"/>
          <w14:textFill>
            <w14:solidFill>
              <w14:schemeClr w14:val="tx1"/>
            </w14:solidFill>
          </w14:textFill>
        </w:rPr>
        <w:t>道德与法治参考答案</w:t>
      </w:r>
    </w:p>
    <w:p>
      <w:pPr>
        <w:ind w:left="273" w:leftChars="130"/>
        <w:rPr>
          <w:rFonts w:ascii="Times New Roman" w:hAnsi="Times New Roman" w:eastAsia="新宋体" w:cs="新宋体"/>
          <w:color w:val="000000" w:themeColor="text1"/>
          <w:szCs w:val="21"/>
          <w:lang w:bidi="ar"/>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1—5  AACDC   6—10  BAADC    11—15  DBAAB</w:t>
      </w:r>
    </w:p>
    <w:p>
      <w:pPr>
        <w:ind w:left="273" w:leftChars="130"/>
        <w:rPr>
          <w:rFonts w:ascii="Times New Roman" w:hAnsi="Times New Roman" w:eastAsia="新宋体" w:cs="新宋体"/>
          <w:color w:val="000000" w:themeColor="text1"/>
          <w:szCs w:val="21"/>
          <w:lang w:bidi="ar"/>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16—20  ACCCA</w:t>
      </w:r>
    </w:p>
    <w:p>
      <w:pPr>
        <w:ind w:left="273" w:leftChars="130"/>
        <w:rPr>
          <w:rFonts w:ascii="Times New Roman" w:hAnsi="Times New Roman" w:eastAsia="新宋体" w:cs="新宋体"/>
          <w:color w:val="000000" w:themeColor="text1"/>
          <w:szCs w:val="21"/>
          <w:lang w:bidi="ar"/>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21—25  FFTTF</w:t>
      </w:r>
    </w:p>
    <w:p>
      <w:pPr>
        <w:ind w:left="273" w:leftChars="130"/>
        <w:rPr>
          <w:color w:val="000000" w:themeColor="text1"/>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26.（</w:t>
      </w:r>
      <w:r>
        <w:rPr>
          <w:rFonts w:ascii="Times New Roman" w:hAnsi="Times New Roman" w:eastAsia="新宋体" w:cs="Times New Roman"/>
          <w:color w:val="000000" w:themeColor="text1"/>
          <w:szCs w:val="21"/>
          <w:lang w:bidi="ar"/>
          <w14:textFill>
            <w14:solidFill>
              <w14:schemeClr w14:val="tx1"/>
            </w14:solidFill>
          </w14:textFill>
        </w:rPr>
        <w:t>1</w:t>
      </w:r>
      <w:r>
        <w:rPr>
          <w:rFonts w:hint="eastAsia" w:ascii="Times New Roman" w:hAnsi="Times New Roman" w:eastAsia="新宋体" w:cs="新宋体"/>
          <w:color w:val="000000" w:themeColor="text1"/>
          <w:szCs w:val="21"/>
          <w:lang w:bidi="ar"/>
          <w14:textFill>
            <w14:solidFill>
              <w14:schemeClr w14:val="tx1"/>
            </w14:solidFill>
          </w14:textFill>
        </w:rPr>
        <w:t>）①我国的高铁技术走在世界前列，取得了巨大的成就；②我国自主创新能力不断提高；③创新是引领发展的第一动力；④中国高铁在国际市场上极具竞争力，高铁让中国体会到创新带来的自信等。</w:t>
      </w:r>
    </w:p>
    <w:p>
      <w:pPr>
        <w:ind w:left="273" w:leftChars="130"/>
        <w:rPr>
          <w:color w:val="000000" w:themeColor="text1"/>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w:t>
      </w:r>
      <w:r>
        <w:rPr>
          <w:rFonts w:ascii="Times New Roman" w:hAnsi="Times New Roman" w:eastAsia="新宋体" w:cs="Times New Roman"/>
          <w:color w:val="000000" w:themeColor="text1"/>
          <w:szCs w:val="21"/>
          <w:lang w:bidi="ar"/>
          <w14:textFill>
            <w14:solidFill>
              <w14:schemeClr w14:val="tx1"/>
            </w14:solidFill>
          </w14:textFill>
        </w:rPr>
        <w:t>2</w:t>
      </w:r>
      <w:r>
        <w:rPr>
          <w:rFonts w:hint="eastAsia" w:ascii="Times New Roman" w:hAnsi="Times New Roman" w:eastAsia="新宋体" w:cs="新宋体"/>
          <w:color w:val="000000" w:themeColor="text1"/>
          <w:szCs w:val="21"/>
          <w:lang w:bidi="ar"/>
          <w14:textFill>
            <w14:solidFill>
              <w14:schemeClr w14:val="tx1"/>
            </w14:solidFill>
          </w14:textFill>
        </w:rPr>
        <w:t>）从自主设计修建零的突破，到世界最先进的智能高铁，中国铁路走过了从无到有，从引进技术、摸索学习到高铁核心技术完全国产化的历程。启示：国家：</w:t>
      </w:r>
      <w:r>
        <w:rPr>
          <w:rFonts w:ascii="Cambria Math" w:hAnsi="Cambria Math" w:eastAsia="Cambria Math" w:cs="Cambria Math"/>
          <w:color w:val="000000" w:themeColor="text1"/>
          <w:szCs w:val="21"/>
          <w:lang w:bidi="ar"/>
          <w14:textFill>
            <w14:solidFill>
              <w14:schemeClr w14:val="tx1"/>
            </w14:solidFill>
          </w14:textFill>
        </w:rPr>
        <w:t>①</w:t>
      </w:r>
      <w:r>
        <w:rPr>
          <w:rFonts w:hint="eastAsia" w:ascii="Times New Roman" w:hAnsi="Times New Roman" w:eastAsia="新宋体" w:cs="新宋体"/>
          <w:color w:val="000000" w:themeColor="text1"/>
          <w:szCs w:val="21"/>
          <w:lang w:bidi="ar"/>
          <w14:textFill>
            <w14:solidFill>
              <w14:schemeClr w14:val="tx1"/>
            </w14:solidFill>
          </w14:textFill>
        </w:rPr>
        <w:t>实施科教兴国和人才强国战略、创新驱动发展战略，将科技和教育摆在经济社会发展的重要位置。</w:t>
      </w:r>
      <w:r>
        <w:rPr>
          <w:rFonts w:ascii="Cambria Math" w:hAnsi="Cambria Math" w:eastAsia="Cambria Math" w:cs="Cambria Math"/>
          <w:color w:val="000000" w:themeColor="text1"/>
          <w:szCs w:val="21"/>
          <w:lang w:bidi="ar"/>
          <w14:textFill>
            <w14:solidFill>
              <w14:schemeClr w14:val="tx1"/>
            </w14:solidFill>
          </w14:textFill>
        </w:rPr>
        <w:t>②</w:t>
      </w:r>
      <w:r>
        <w:rPr>
          <w:rFonts w:hint="eastAsia" w:ascii="Times New Roman" w:hAnsi="Times New Roman" w:eastAsia="新宋体" w:cs="新宋体"/>
          <w:color w:val="000000" w:themeColor="text1"/>
          <w:szCs w:val="21"/>
          <w:lang w:bidi="ar"/>
          <w14:textFill>
            <w14:solidFill>
              <w14:schemeClr w14:val="tx1"/>
            </w14:solidFill>
          </w14:textFill>
        </w:rPr>
        <w:t>重视教育的发展，培养创新型人才。</w:t>
      </w:r>
      <w:r>
        <w:rPr>
          <w:rFonts w:ascii="Cambria Math" w:hAnsi="Cambria Math" w:eastAsia="Cambria Math" w:cs="Cambria Math"/>
          <w:color w:val="000000" w:themeColor="text1"/>
          <w:szCs w:val="21"/>
          <w:lang w:bidi="ar"/>
          <w14:textFill>
            <w14:solidFill>
              <w14:schemeClr w14:val="tx1"/>
            </w14:solidFill>
          </w14:textFill>
        </w:rPr>
        <w:t>③</w:t>
      </w:r>
      <w:r>
        <w:rPr>
          <w:rFonts w:hint="eastAsia" w:ascii="Times New Roman" w:hAnsi="Times New Roman" w:eastAsia="新宋体" w:cs="新宋体"/>
          <w:color w:val="000000" w:themeColor="text1"/>
          <w:szCs w:val="21"/>
          <w:lang w:bidi="ar"/>
          <w14:textFill>
            <w14:solidFill>
              <w14:schemeClr w14:val="tx1"/>
            </w14:solidFill>
          </w14:textFill>
        </w:rPr>
        <w:t>增强自主创新能力，坚持自主创新、重点跨越、支撑发展、引领未来的方针，坚定不移走中国特色自主创新道路。</w:t>
      </w:r>
      <w:r>
        <w:rPr>
          <w:rFonts w:ascii="Cambria Math" w:hAnsi="Cambria Math" w:eastAsia="Cambria Math" w:cs="Cambria Math"/>
          <w:color w:val="000000" w:themeColor="text1"/>
          <w:szCs w:val="21"/>
          <w:lang w:bidi="ar"/>
          <w14:textFill>
            <w14:solidFill>
              <w14:schemeClr w14:val="tx1"/>
            </w14:solidFill>
          </w14:textFill>
        </w:rPr>
        <w:t>④</w:t>
      </w:r>
      <w:r>
        <w:rPr>
          <w:rFonts w:hint="eastAsia" w:ascii="Times New Roman" w:hAnsi="Times New Roman" w:eastAsia="新宋体" w:cs="新宋体"/>
          <w:color w:val="000000" w:themeColor="text1"/>
          <w:szCs w:val="21"/>
          <w:lang w:bidi="ar"/>
          <w14:textFill>
            <w14:solidFill>
              <w14:schemeClr w14:val="tx1"/>
            </w14:solidFill>
          </w14:textFill>
        </w:rPr>
        <w:t>加快形成有利于创新的治理格局和协同机制，搭建有利于创新的活动平台和融资平台，营造有利于创新的舆论氛围和法治环境等。企业：①加大投入研发的力度，不断地提高自主创新能力，掌握核心技术；②发扬自强奋斗、敢于突破的精神；③注重人才的培养等。或社会：①在全社会大力宣传创新的重要性；②营造尊重劳动、尊重知识、尊重人才、尊重创造的良好社会氛围等。或青少年：①要树立创新意识，培养创新精神和创新能力；②向科技工作者学习，勇于探索，大胆质疑，积极参加一些科技实践活动等。</w:t>
      </w:r>
    </w:p>
    <w:p>
      <w:pPr>
        <w:ind w:left="273" w:leftChars="130"/>
        <w:rPr>
          <w:color w:val="000000" w:themeColor="text1"/>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27.（</w:t>
      </w:r>
      <w:r>
        <w:rPr>
          <w:rFonts w:ascii="Times New Roman" w:hAnsi="Times New Roman" w:eastAsia="新宋体" w:cs="Times New Roman"/>
          <w:color w:val="000000" w:themeColor="text1"/>
          <w:szCs w:val="21"/>
          <w:lang w:bidi="ar"/>
          <w14:textFill>
            <w14:solidFill>
              <w14:schemeClr w14:val="tx1"/>
            </w14:solidFill>
          </w14:textFill>
        </w:rPr>
        <w:t>1</w:t>
      </w:r>
      <w:r>
        <w:rPr>
          <w:rFonts w:hint="eastAsia" w:ascii="Times New Roman" w:hAnsi="Times New Roman" w:eastAsia="新宋体" w:cs="新宋体"/>
          <w:color w:val="000000" w:themeColor="text1"/>
          <w:szCs w:val="21"/>
          <w:lang w:bidi="ar"/>
          <w14:textFill>
            <w14:solidFill>
              <w14:schemeClr w14:val="tx1"/>
            </w14:solidFill>
          </w14:textFill>
        </w:rPr>
        <w:t>）①是社会主义法治的价值追求。②民法典的颁布和实施是新时代中国特色社会主义法治进程中科学立法、民主立法、依法立法的重要里程碑。③也是全面推进依法治国、加快建设社会主义法治国家，不断提升国家治理体系和治理能力现代化的重大举措。④有利于维护社会的公平正义，切实维护公民的合法权益。</w:t>
      </w:r>
    </w:p>
    <w:p>
      <w:pPr>
        <w:ind w:left="273" w:leftChars="130"/>
        <w:rPr>
          <w:color w:val="000000" w:themeColor="text1"/>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w:t>
      </w:r>
      <w:r>
        <w:rPr>
          <w:rFonts w:ascii="Times New Roman" w:hAnsi="Times New Roman" w:eastAsia="新宋体" w:cs="Times New Roman"/>
          <w:color w:val="000000" w:themeColor="text1"/>
          <w:szCs w:val="21"/>
          <w:lang w:bidi="ar"/>
          <w14:textFill>
            <w14:solidFill>
              <w14:schemeClr w14:val="tx1"/>
            </w14:solidFill>
          </w14:textFill>
        </w:rPr>
        <w:t>2</w:t>
      </w:r>
      <w:r>
        <w:rPr>
          <w:rFonts w:hint="eastAsia" w:ascii="Times New Roman" w:hAnsi="Times New Roman" w:eastAsia="新宋体" w:cs="新宋体"/>
          <w:color w:val="000000" w:themeColor="text1"/>
          <w:szCs w:val="21"/>
          <w:lang w:bidi="ar"/>
          <w14:textFill>
            <w14:solidFill>
              <w14:schemeClr w14:val="tx1"/>
            </w14:solidFill>
          </w14:textFill>
        </w:rPr>
        <w:t>）①民法典具有规范作用，规范公民应该做什么，不应该做什么；②民法典具有保护作用，通过制裁高空抛物者的行为，维护公民的合法权益。</w:t>
      </w:r>
    </w:p>
    <w:p>
      <w:pPr>
        <w:ind w:left="273" w:leftChars="130"/>
        <w:rPr>
          <w:color w:val="000000" w:themeColor="text1"/>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28.（</w:t>
      </w:r>
      <w:r>
        <w:rPr>
          <w:rFonts w:ascii="Times New Roman" w:hAnsi="Times New Roman" w:eastAsia="新宋体" w:cs="Times New Roman"/>
          <w:color w:val="000000" w:themeColor="text1"/>
          <w:szCs w:val="21"/>
          <w:lang w:bidi="ar"/>
          <w14:textFill>
            <w14:solidFill>
              <w14:schemeClr w14:val="tx1"/>
            </w14:solidFill>
          </w14:textFill>
        </w:rPr>
        <w:t>1</w:t>
      </w:r>
      <w:r>
        <w:rPr>
          <w:rFonts w:hint="eastAsia" w:ascii="Times New Roman" w:hAnsi="Times New Roman" w:eastAsia="新宋体" w:cs="新宋体"/>
          <w:color w:val="000000" w:themeColor="text1"/>
          <w:szCs w:val="21"/>
          <w:lang w:bidi="ar"/>
          <w14:textFill>
            <w14:solidFill>
              <w14:schemeClr w14:val="tx1"/>
            </w14:solidFill>
          </w14:textFill>
        </w:rPr>
        <w:t>）</w:t>
      </w:r>
      <w:r>
        <w:rPr>
          <w:rFonts w:ascii="Cambria Math" w:hAnsi="Cambria Math" w:eastAsia="Cambria Math" w:cs="Cambria Math"/>
          <w:color w:val="000000" w:themeColor="text1"/>
          <w:szCs w:val="21"/>
          <w:lang w:bidi="ar"/>
          <w14:textFill>
            <w14:solidFill>
              <w14:schemeClr w14:val="tx1"/>
            </w14:solidFill>
          </w14:textFill>
        </w:rPr>
        <w:t>①</w:t>
      </w:r>
      <w:r>
        <w:rPr>
          <w:rFonts w:hint="eastAsia" w:ascii="Cambria Math" w:hAnsi="Cambria Math" w:eastAsia="Cambria Math" w:cs="Cambria Math"/>
          <w:color w:val="000000" w:themeColor="text1"/>
          <w:szCs w:val="21"/>
          <w:lang w:bidi="ar"/>
          <w14:textFill>
            <w14:solidFill>
              <w14:schemeClr w14:val="tx1"/>
            </w14:solidFill>
          </w14:textFill>
        </w:rPr>
        <w:t>有利于</w:t>
      </w:r>
      <w:r>
        <w:rPr>
          <w:rFonts w:hint="eastAsia" w:ascii="Times New Roman" w:hAnsi="Times New Roman" w:eastAsia="新宋体" w:cs="新宋体"/>
          <w:color w:val="000000" w:themeColor="text1"/>
          <w:szCs w:val="21"/>
          <w:lang w:bidi="ar"/>
          <w14:textFill>
            <w14:solidFill>
              <w14:schemeClr w14:val="tx1"/>
            </w14:solidFill>
          </w14:textFill>
        </w:rPr>
        <w:t>促进贫困地区经济发展，实现全面建成小康社会的目标。</w:t>
      </w:r>
    </w:p>
    <w:p>
      <w:pPr>
        <w:ind w:left="273" w:leftChars="130"/>
        <w:rPr>
          <w:color w:val="000000" w:themeColor="text1"/>
          <w14:textFill>
            <w14:solidFill>
              <w14:schemeClr w14:val="tx1"/>
            </w14:solidFill>
          </w14:textFill>
        </w:rPr>
      </w:pPr>
      <w:r>
        <w:rPr>
          <w:rFonts w:ascii="Cambria Math" w:hAnsi="Cambria Math" w:eastAsia="Cambria Math" w:cs="Cambria Math"/>
          <w:color w:val="000000" w:themeColor="text1"/>
          <w:szCs w:val="21"/>
          <w:lang w:bidi="ar"/>
          <w14:textFill>
            <w14:solidFill>
              <w14:schemeClr w14:val="tx1"/>
            </w14:solidFill>
          </w14:textFill>
        </w:rPr>
        <w:t>②</w:t>
      </w:r>
      <w:r>
        <w:rPr>
          <w:rFonts w:hint="eastAsia" w:ascii="Cambria Math" w:hAnsi="Cambria Math" w:eastAsia="Cambria Math" w:cs="Cambria Math"/>
          <w:color w:val="000000" w:themeColor="text1"/>
          <w:szCs w:val="21"/>
          <w:lang w:bidi="ar"/>
          <w14:textFill>
            <w14:solidFill>
              <w14:schemeClr w14:val="tx1"/>
            </w14:solidFill>
          </w14:textFill>
        </w:rPr>
        <w:t>有利于</w:t>
      </w:r>
      <w:r>
        <w:rPr>
          <w:rFonts w:hint="eastAsia" w:ascii="Times New Roman" w:hAnsi="Times New Roman" w:eastAsia="新宋体" w:cs="新宋体"/>
          <w:color w:val="000000" w:themeColor="text1"/>
          <w:szCs w:val="21"/>
          <w:lang w:bidi="ar"/>
          <w14:textFill>
            <w14:solidFill>
              <w14:schemeClr w14:val="tx1"/>
            </w14:solidFill>
          </w14:textFill>
        </w:rPr>
        <w:t>增进民生福祉，保障人民的合法权益，实现社会的公平正义。</w:t>
      </w:r>
      <w:r>
        <w:rPr>
          <w:rFonts w:ascii="Cambria Math" w:hAnsi="Cambria Math" w:eastAsia="Cambria Math" w:cs="Cambria Math"/>
          <w:color w:val="000000" w:themeColor="text1"/>
          <w:szCs w:val="21"/>
          <w:lang w:bidi="ar"/>
          <w14:textFill>
            <w14:solidFill>
              <w14:schemeClr w14:val="tx1"/>
            </w14:solidFill>
          </w14:textFill>
        </w:rPr>
        <w:t>③</w:t>
      </w:r>
      <w:r>
        <w:rPr>
          <w:rFonts w:hint="eastAsia" w:ascii="Cambria Math" w:hAnsi="Cambria Math" w:eastAsia="Cambria Math" w:cs="Cambria Math"/>
          <w:color w:val="000000" w:themeColor="text1"/>
          <w:szCs w:val="21"/>
          <w:lang w:bidi="ar"/>
          <w14:textFill>
            <w14:solidFill>
              <w14:schemeClr w14:val="tx1"/>
            </w14:solidFill>
          </w14:textFill>
        </w:rPr>
        <w:t>有利于实现共同富裕，实现中华民族的伟大复兴。</w:t>
      </w:r>
    </w:p>
    <w:p>
      <w:pPr>
        <w:ind w:left="273" w:leftChars="130"/>
        <w:rPr>
          <w:rFonts w:ascii="Cambria Math" w:hAnsi="Cambria Math" w:eastAsia="Cambria Math" w:cs="Cambria Math"/>
          <w:color w:val="000000" w:themeColor="text1"/>
          <w:szCs w:val="21"/>
          <w:lang w:bidi="ar"/>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w:t>
      </w:r>
      <w:r>
        <w:rPr>
          <w:rFonts w:ascii="Times New Roman" w:hAnsi="Times New Roman" w:eastAsia="新宋体" w:cs="Times New Roman"/>
          <w:color w:val="000000" w:themeColor="text1"/>
          <w:szCs w:val="21"/>
          <w:lang w:bidi="ar"/>
          <w14:textFill>
            <w14:solidFill>
              <w14:schemeClr w14:val="tx1"/>
            </w14:solidFill>
          </w14:textFill>
        </w:rPr>
        <w:t>2</w:t>
      </w:r>
      <w:r>
        <w:rPr>
          <w:rFonts w:hint="eastAsia" w:ascii="Times New Roman" w:hAnsi="Times New Roman" w:eastAsia="新宋体" w:cs="新宋体"/>
          <w:color w:val="000000" w:themeColor="text1"/>
          <w:szCs w:val="21"/>
          <w:lang w:bidi="ar"/>
          <w14:textFill>
            <w14:solidFill>
              <w14:schemeClr w14:val="tx1"/>
            </w14:solidFill>
          </w14:textFill>
        </w:rPr>
        <w:t>）①</w:t>
      </w:r>
      <w:r>
        <w:rPr>
          <w:rFonts w:ascii="Cambria Math" w:hAnsi="Cambria Math" w:eastAsia="Cambria Math" w:cs="Cambria Math"/>
          <w:color w:val="000000" w:themeColor="text1"/>
          <w:szCs w:val="21"/>
          <w:lang w:bidi="ar"/>
          <w14:textFill>
            <w14:solidFill>
              <w14:schemeClr w14:val="tx1"/>
            </w14:solidFill>
          </w14:textFill>
        </w:rPr>
        <w:t>坚持中国共产党的正确领导。</w:t>
      </w:r>
      <w:r>
        <w:rPr>
          <w:rFonts w:hint="eastAsia" w:ascii="Cambria Math" w:hAnsi="Cambria Math" w:eastAsia="Cambria Math" w:cs="Cambria Math"/>
          <w:color w:val="000000" w:themeColor="text1"/>
          <w:szCs w:val="21"/>
          <w:lang w:bidi="ar"/>
          <w14:textFill>
            <w14:solidFill>
              <w14:schemeClr w14:val="tx1"/>
            </w14:solidFill>
          </w14:textFill>
        </w:rPr>
        <w:t>②</w:t>
      </w:r>
      <w:r>
        <w:rPr>
          <w:rFonts w:ascii="Cambria Math" w:hAnsi="Cambria Math" w:eastAsia="Cambria Math" w:cs="Cambria Math"/>
          <w:color w:val="000000" w:themeColor="text1"/>
          <w:szCs w:val="21"/>
          <w:lang w:bidi="ar"/>
          <w14:textFill>
            <w14:solidFill>
              <w14:schemeClr w14:val="tx1"/>
            </w14:solidFill>
          </w14:textFill>
        </w:rPr>
        <w:t>以经济建设为中心，大力发展生产力，因地制宜，发展特色产业。</w:t>
      </w:r>
      <w:r>
        <w:rPr>
          <w:rFonts w:hint="eastAsia" w:ascii="Cambria Math" w:hAnsi="Cambria Math" w:eastAsia="Cambria Math" w:cs="Cambria Math"/>
          <w:color w:val="000000" w:themeColor="text1"/>
          <w:szCs w:val="21"/>
          <w:lang w:bidi="ar"/>
          <w14:textFill>
            <w14:solidFill>
              <w14:schemeClr w14:val="tx1"/>
            </w14:solidFill>
          </w14:textFill>
        </w:rPr>
        <w:t>③</w:t>
      </w:r>
      <w:r>
        <w:rPr>
          <w:rFonts w:ascii="Cambria Math" w:hAnsi="Cambria Math" w:eastAsia="Cambria Math" w:cs="Cambria Math"/>
          <w:color w:val="000000" w:themeColor="text1"/>
          <w:szCs w:val="21"/>
          <w:lang w:bidi="ar"/>
          <w14:textFill>
            <w14:solidFill>
              <w14:schemeClr w14:val="tx1"/>
            </w14:solidFill>
          </w14:textFill>
        </w:rPr>
        <w:t>坚持以人民为中心的发展思想，紧紧依靠人民群众。</w:t>
      </w:r>
      <w:r>
        <w:rPr>
          <w:rFonts w:hint="eastAsia" w:ascii="Cambria Math" w:hAnsi="Cambria Math" w:eastAsia="Cambria Math" w:cs="Cambria Math"/>
          <w:color w:val="000000" w:themeColor="text1"/>
          <w:szCs w:val="21"/>
          <w:lang w:bidi="ar"/>
          <w14:textFill>
            <w14:solidFill>
              <w14:schemeClr w14:val="tx1"/>
            </w14:solidFill>
          </w14:textFill>
        </w:rPr>
        <w:t>④</w:t>
      </w:r>
      <w:r>
        <w:rPr>
          <w:rFonts w:ascii="Cambria Math" w:hAnsi="Cambria Math" w:eastAsia="Cambria Math" w:cs="Cambria Math"/>
          <w:color w:val="000000" w:themeColor="text1"/>
          <w:szCs w:val="21"/>
          <w:lang w:bidi="ar"/>
          <w14:textFill>
            <w14:solidFill>
              <w14:schemeClr w14:val="tx1"/>
            </w14:solidFill>
          </w14:textFill>
        </w:rPr>
        <w:t>贫困户要发扬自强不息、艰苦奋斗的精神。</w:t>
      </w:r>
    </w:p>
    <w:p>
      <w:pPr>
        <w:ind w:left="273" w:leftChars="130"/>
        <w:rPr>
          <w:color w:val="000000" w:themeColor="text1"/>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w:t>
      </w:r>
      <w:r>
        <w:rPr>
          <w:rFonts w:ascii="Times New Roman" w:hAnsi="Times New Roman" w:eastAsia="新宋体" w:cs="Times New Roman"/>
          <w:color w:val="000000" w:themeColor="text1"/>
          <w:szCs w:val="21"/>
          <w:lang w:bidi="ar"/>
          <w14:textFill>
            <w14:solidFill>
              <w14:schemeClr w14:val="tx1"/>
            </w14:solidFill>
          </w14:textFill>
        </w:rPr>
        <w:t>3</w:t>
      </w:r>
      <w:r>
        <w:rPr>
          <w:rFonts w:hint="eastAsia" w:ascii="Times New Roman" w:hAnsi="Times New Roman" w:eastAsia="新宋体" w:cs="新宋体"/>
          <w:color w:val="000000" w:themeColor="text1"/>
          <w:szCs w:val="21"/>
          <w:lang w:bidi="ar"/>
          <w14:textFill>
            <w14:solidFill>
              <w14:schemeClr w14:val="tx1"/>
            </w14:solidFill>
          </w14:textFill>
        </w:rPr>
        <w:t>）</w:t>
      </w:r>
      <w:r>
        <w:rPr>
          <w:rFonts w:ascii="Cambria Math" w:hAnsi="Cambria Math" w:eastAsia="Cambria Math" w:cs="Cambria Math"/>
          <w:color w:val="000000" w:themeColor="text1"/>
          <w:szCs w:val="21"/>
          <w:lang w:bidi="ar"/>
          <w14:textFill>
            <w14:solidFill>
              <w14:schemeClr w14:val="tx1"/>
            </w14:solidFill>
          </w14:textFill>
        </w:rPr>
        <w:t>①</w:t>
      </w:r>
      <w:r>
        <w:rPr>
          <w:rFonts w:hint="eastAsia" w:ascii="Times New Roman" w:hAnsi="Times New Roman" w:eastAsia="新宋体" w:cs="新宋体"/>
          <w:color w:val="000000" w:themeColor="text1"/>
          <w:szCs w:val="21"/>
          <w:lang w:bidi="ar"/>
          <w14:textFill>
            <w14:solidFill>
              <w14:schemeClr w14:val="tx1"/>
            </w14:solidFill>
          </w14:textFill>
        </w:rPr>
        <w:t>支持和积极宣传扶贫政策。</w:t>
      </w:r>
    </w:p>
    <w:p>
      <w:pPr>
        <w:ind w:left="273" w:leftChars="130"/>
        <w:rPr>
          <w:color w:val="000000" w:themeColor="text1"/>
          <w14:textFill>
            <w14:solidFill>
              <w14:schemeClr w14:val="tx1"/>
            </w14:solidFill>
          </w14:textFill>
        </w:rPr>
      </w:pPr>
      <w:r>
        <w:rPr>
          <w:rFonts w:ascii="Cambria Math" w:hAnsi="Cambria Math" w:eastAsia="Cambria Math" w:cs="Cambria Math"/>
          <w:color w:val="000000" w:themeColor="text1"/>
          <w:szCs w:val="21"/>
          <w:lang w:bidi="ar"/>
          <w14:textFill>
            <w14:solidFill>
              <w14:schemeClr w14:val="tx1"/>
            </w14:solidFill>
          </w14:textFill>
        </w:rPr>
        <w:t>②</w:t>
      </w:r>
      <w:r>
        <w:rPr>
          <w:rFonts w:hint="eastAsia" w:ascii="Times New Roman" w:hAnsi="Times New Roman" w:eastAsia="新宋体" w:cs="新宋体"/>
          <w:color w:val="000000" w:themeColor="text1"/>
          <w:szCs w:val="21"/>
          <w:lang w:bidi="ar"/>
          <w14:textFill>
            <w14:solidFill>
              <w14:schemeClr w14:val="tx1"/>
            </w14:solidFill>
          </w14:textFill>
        </w:rPr>
        <w:t>勤奋学习、提升本领。</w:t>
      </w:r>
    </w:p>
    <w:p>
      <w:pPr>
        <w:ind w:left="273" w:leftChars="130"/>
        <w:rPr>
          <w:color w:val="000000" w:themeColor="text1"/>
          <w14:textFill>
            <w14:solidFill>
              <w14:schemeClr w14:val="tx1"/>
            </w14:solidFill>
          </w14:textFill>
        </w:rPr>
      </w:pPr>
      <w:r>
        <w:rPr>
          <w:rFonts w:ascii="Cambria Math" w:hAnsi="Cambria Math" w:eastAsia="Cambria Math" w:cs="Cambria Math"/>
          <w:color w:val="000000" w:themeColor="text1"/>
          <w:szCs w:val="21"/>
          <w:lang w:bidi="ar"/>
          <w14:textFill>
            <w14:solidFill>
              <w14:schemeClr w14:val="tx1"/>
            </w14:solidFill>
          </w14:textFill>
        </w:rPr>
        <w:t>③</w:t>
      </w:r>
      <w:r>
        <w:rPr>
          <w:rFonts w:hint="eastAsia" w:ascii="Times New Roman" w:hAnsi="Times New Roman" w:eastAsia="新宋体" w:cs="新宋体"/>
          <w:color w:val="000000" w:themeColor="text1"/>
          <w:szCs w:val="21"/>
          <w:lang w:bidi="ar"/>
          <w14:textFill>
            <w14:solidFill>
              <w14:schemeClr w14:val="tx1"/>
            </w14:solidFill>
          </w14:textFill>
        </w:rPr>
        <w:t>有条件的可以去为贫困地区捐献物资、与小伙伴结对帮扶。</w:t>
      </w:r>
    </w:p>
    <w:p>
      <w:pPr>
        <w:ind w:left="273" w:leftChars="130"/>
        <w:rPr>
          <w:rFonts w:ascii="Times New Roman" w:hAnsi="Times New Roman" w:eastAsia="新宋体" w:cs="新宋体"/>
          <w:color w:val="000000" w:themeColor="text1"/>
          <w:szCs w:val="21"/>
          <w:lang w:bidi="ar"/>
          <w14:textFill>
            <w14:solidFill>
              <w14:schemeClr w14:val="tx1"/>
            </w14:solidFill>
          </w14:textFill>
        </w:rPr>
      </w:pPr>
      <w:r>
        <w:rPr>
          <w:rFonts w:ascii="Cambria Math" w:hAnsi="Cambria Math" w:eastAsia="Cambria Math" w:cs="Cambria Math"/>
          <w:color w:val="000000" w:themeColor="text1"/>
          <w:szCs w:val="21"/>
          <w:lang w:bidi="ar"/>
          <w14:textFill>
            <w14:solidFill>
              <w14:schemeClr w14:val="tx1"/>
            </w14:solidFill>
          </w14:textFill>
        </w:rPr>
        <w:t>④</w:t>
      </w:r>
      <w:r>
        <w:rPr>
          <w:rFonts w:hint="eastAsia" w:ascii="Times New Roman" w:hAnsi="Times New Roman" w:eastAsia="新宋体" w:cs="新宋体"/>
          <w:color w:val="000000" w:themeColor="text1"/>
          <w:szCs w:val="21"/>
          <w:lang w:bidi="ar"/>
          <w14:textFill>
            <w14:solidFill>
              <w14:schemeClr w14:val="tx1"/>
            </w14:solidFill>
          </w14:textFill>
        </w:rPr>
        <w:t>可以劝说家人购买扶贫产品等。</w:t>
      </w:r>
    </w:p>
    <w:p>
      <w:pPr>
        <w:ind w:left="273" w:leftChars="130"/>
        <w:rPr>
          <w:color w:val="000000" w:themeColor="text1"/>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29.（</w:t>
      </w:r>
      <w:r>
        <w:rPr>
          <w:rFonts w:ascii="Times New Roman" w:hAnsi="Times New Roman" w:eastAsia="新宋体" w:cs="Times New Roman"/>
          <w:color w:val="000000" w:themeColor="text1"/>
          <w:szCs w:val="21"/>
          <w:lang w:bidi="ar"/>
          <w14:textFill>
            <w14:solidFill>
              <w14:schemeClr w14:val="tx1"/>
            </w14:solidFill>
          </w14:textFill>
        </w:rPr>
        <w:t>1</w:t>
      </w:r>
      <w:r>
        <w:rPr>
          <w:rFonts w:hint="eastAsia" w:ascii="Times New Roman" w:hAnsi="Times New Roman" w:eastAsia="新宋体" w:cs="新宋体"/>
          <w:color w:val="000000" w:themeColor="text1"/>
          <w:szCs w:val="21"/>
          <w:lang w:bidi="ar"/>
          <w14:textFill>
            <w14:solidFill>
              <w14:schemeClr w14:val="tx1"/>
            </w14:solidFill>
          </w14:textFill>
        </w:rPr>
        <w:t>）爱国、敬业、友善。</w:t>
      </w:r>
    </w:p>
    <w:p>
      <w:pPr>
        <w:ind w:left="273" w:leftChars="130"/>
        <w:rPr>
          <w:color w:val="000000" w:themeColor="text1"/>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w:t>
      </w:r>
      <w:r>
        <w:rPr>
          <w:rFonts w:ascii="Times New Roman" w:hAnsi="Times New Roman" w:eastAsia="新宋体" w:cs="Times New Roman"/>
          <w:color w:val="000000" w:themeColor="text1"/>
          <w:szCs w:val="21"/>
          <w:lang w:bidi="ar"/>
          <w14:textFill>
            <w14:solidFill>
              <w14:schemeClr w14:val="tx1"/>
            </w14:solidFill>
          </w14:textFill>
        </w:rPr>
        <w:t>2</w:t>
      </w:r>
      <w:r>
        <w:rPr>
          <w:rFonts w:hint="eastAsia" w:ascii="Times New Roman" w:hAnsi="Times New Roman" w:eastAsia="新宋体" w:cs="新宋体"/>
          <w:color w:val="000000" w:themeColor="text1"/>
          <w:szCs w:val="21"/>
          <w:lang w:bidi="ar"/>
          <w14:textFill>
            <w14:solidFill>
              <w14:schemeClr w14:val="tx1"/>
            </w14:solidFill>
          </w14:textFill>
        </w:rPr>
        <w:t>）①培育和践行社会主义核心价值观，要与日常生活紧密联系起来，做到落细、落小、落实。②青少年处在价值观形成的关键时期，“人生的扣子从一开始就要扣好”，我们应自觉做到勤于学习、敏于思考，注重修养、勇于实践，明辨是非、善于选择，认真做事、踏实做人。</w:t>
      </w:r>
    </w:p>
    <w:p>
      <w:pPr>
        <w:ind w:left="273" w:leftChars="130"/>
        <w:rPr>
          <w:color w:val="000000" w:themeColor="text1"/>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w:t>
      </w:r>
      <w:r>
        <w:rPr>
          <w:rFonts w:ascii="Times New Roman" w:hAnsi="Times New Roman" w:eastAsia="新宋体" w:cs="Times New Roman"/>
          <w:color w:val="000000" w:themeColor="text1"/>
          <w:szCs w:val="21"/>
          <w:lang w:bidi="ar"/>
          <w14:textFill>
            <w14:solidFill>
              <w14:schemeClr w14:val="tx1"/>
            </w14:solidFill>
          </w14:textFill>
        </w:rPr>
        <w:t>3</w:t>
      </w:r>
      <w:r>
        <w:rPr>
          <w:rFonts w:hint="eastAsia" w:ascii="Times New Roman" w:hAnsi="Times New Roman" w:eastAsia="新宋体" w:cs="新宋体"/>
          <w:color w:val="000000" w:themeColor="text1"/>
          <w:szCs w:val="21"/>
          <w:lang w:bidi="ar"/>
          <w14:textFill>
            <w14:solidFill>
              <w14:schemeClr w14:val="tx1"/>
            </w14:solidFill>
          </w14:textFill>
        </w:rPr>
        <w:t>）奉献社会、服务社会，用自己的实际行动实现自身价值。</w:t>
      </w:r>
    </w:p>
    <w:p>
      <w:pPr>
        <w:rPr>
          <w:color w:val="000000" w:themeColor="text1"/>
          <w14:textFill>
            <w14:solidFill>
              <w14:schemeClr w14:val="tx1"/>
            </w14:solidFill>
          </w14:textFill>
        </w:rPr>
      </w:pPr>
    </w:p>
    <w:p>
      <w:pPr>
        <w:spacing w:line="360" w:lineRule="auto"/>
      </w:pPr>
      <w:bookmarkStart w:id="0" w:name="_GoBack"/>
      <w:bookmarkEnd w:id="0"/>
    </w:p>
    <w:sectPr>
      <w:headerReference r:id="rId3" w:type="first"/>
      <w:pgSz w:w="11906" w:h="16838"/>
      <w:pgMar w:top="1418" w:right="1418" w:bottom="1418" w:left="141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方正小标宋简体">
    <w:panose1 w:val="02010601030101010101"/>
    <w:charset w:val="86"/>
    <w:family w:val="auto"/>
    <w:pitch w:val="default"/>
    <w:sig w:usb0="00000001" w:usb1="080E0000" w:usb2="00000000" w:usb3="00000000" w:csb0="00040000" w:csb1="00000000"/>
  </w:font>
  <w:font w:name="方正书宋简体">
    <w:panose1 w:val="02010601030101010101"/>
    <w:charset w:val="86"/>
    <w:family w:val="auto"/>
    <w:pitch w:val="default"/>
    <w:sig w:usb0="00000001" w:usb1="080E0000" w:usb2="00000000" w:usb3="00000000" w:csb0="00040000" w:csb1="00000000"/>
  </w:font>
  <w:font w:name="新宋体">
    <w:panose1 w:val="02010609030101010101"/>
    <w:charset w:val="86"/>
    <w:family w:val="auto"/>
    <w:pitch w:val="default"/>
    <w:sig w:usb0="00000003" w:usb1="288F0000" w:usb2="00000006" w:usb3="00000000" w:csb0="00040001" w:csb1="00000000"/>
  </w:font>
  <w:font w:name="Cambria Math">
    <w:panose1 w:val="02040503050406030204"/>
    <w:charset w:val="01"/>
    <w:family w:val="roman"/>
    <w:pitch w:val="default"/>
    <w:sig w:usb0="E00002FF" w:usb1="420024FF" w:usb2="00000000" w:usb3="00000000" w:csb0="2000019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drawing>
        <wp:anchor distT="0" distB="0" distL="114300" distR="114300" simplePos="0" relativeHeight="251658240" behindDoc="0" locked="0" layoutInCell="1" allowOverlap="1">
          <wp:simplePos x="0" y="0"/>
          <wp:positionH relativeFrom="page">
            <wp:posOffset>127000</wp:posOffset>
          </wp:positionH>
          <wp:positionV relativeFrom="page">
            <wp:posOffset>12700000</wp:posOffset>
          </wp:positionV>
          <wp:extent cx="355600" cy="266700"/>
          <wp:effectExtent l="0" t="0" r="6350" b="0"/>
          <wp:wrapNone/>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
                  <a:stretch>
                    <a:fillRect/>
                  </a:stretch>
                </pic:blipFill>
                <pic:spPr>
                  <a:xfrm>
                    <a:off x="0" y="0"/>
                    <a:ext cx="355600" cy="26670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680E35C8"/>
    <w:rsid w:val="00891DE0"/>
    <w:rsid w:val="008D16EA"/>
    <w:rsid w:val="464253D4"/>
    <w:rsid w:val="5C656A07"/>
    <w:rsid w:val="625B11C8"/>
    <w:rsid w:val="680E35C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1"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1"/>
    <w:pPr>
      <w:spacing w:before="11"/>
      <w:ind w:left="1395"/>
      <w:jc w:val="center"/>
      <w:outlineLvl w:val="0"/>
    </w:pPr>
    <w:rPr>
      <w:rFonts w:ascii="宋体" w:hAnsi="宋体" w:eastAsia="宋体" w:cs="宋体"/>
      <w:sz w:val="36"/>
      <w:szCs w:val="36"/>
      <w:lang w:val="lv-LV" w:eastAsia="lv-LV" w:bidi="lv-LV"/>
    </w:rPr>
  </w:style>
  <w:style w:type="character" w:default="1" w:styleId="3">
    <w:name w:val="Default Paragraph Font"/>
    <w:semiHidden/>
    <w:unhideWhenUsed/>
    <w:qFormat/>
    <w:uiPriority w:val="1"/>
  </w:style>
  <w:style w:type="table" w:default="1" w:styleId="4">
    <w:name w:val="Normal Table"/>
    <w:semiHidden/>
    <w:unhideWhenUsed/>
    <w:qFormat/>
    <w:uiPriority w:val="99"/>
    <w:tblPr>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7.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学科网（北京）股份有限公司</Company>
  <Pages>3</Pages>
  <Words>186</Words>
  <Characters>1063</Characters>
  <Lines>8</Lines>
  <Paragraphs>2</Paragraphs>
  <TotalTime>1</TotalTime>
  <ScaleCrop>false</ScaleCrop>
  <LinksUpToDate>false</LinksUpToDate>
  <CharactersWithSpaces>1247</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2021-08-17T09:54:00Z</dcterms:created>
  <dc:creator>DELL</dc:creator>
  <cp:lastModifiedBy>老倪膏药(招代理)</cp:lastModifiedBy>
  <dcterms:modified xsi:type="dcterms:W3CDTF">2022-01-23T12:52:04Z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