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spacing w:line="240" w:lineRule="auto"/>
        <w:jc w:val="center"/>
        <w:outlineLvl w:val="9"/>
        <w:rPr>
          <w:rFonts w:ascii="宋体" w:hAns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罗南中学九年级道德与法治试卷（开卷）</w:t>
      </w:r>
    </w:p>
    <w:p>
      <w:pPr>
        <w:keepNext w:val="0"/>
        <w:keepLines w:val="0"/>
        <w:pageBreakBefore w:val="0"/>
        <w:widowControl w:val="0"/>
        <w:kinsoku/>
        <w:wordWrap/>
        <w:overflowPunct/>
        <w:topLinePunct w:val="0"/>
        <w:autoSpaceDE/>
        <w:autoSpaceDN/>
        <w:bidi w:val="0"/>
        <w:adjustRightInd w:val="0"/>
        <w:snapToGrid/>
        <w:spacing w:line="240" w:lineRule="auto"/>
        <w:outlineLvl w:val="9"/>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一、综合理解题（12分）</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outlineLvl w:val="9"/>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在道德与法治探究学习过程中，小林同学看到以下材料：</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outlineLvl w:val="9"/>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 xml:space="preserve">材料一： </w:t>
      </w:r>
      <w:r>
        <w:rPr>
          <w:rFonts w:ascii="楷体" w:hAnsi="楷体" w:eastAsia="楷体"/>
          <w:color w:val="000000" w:themeColor="text1"/>
          <w:szCs w:val="21"/>
          <w14:textFill>
            <w14:solidFill>
              <w14:schemeClr w14:val="tx1"/>
            </w14:solidFill>
          </w14:textFill>
        </w:rPr>
        <w:t xml:space="preserve">                   </w:t>
      </w:r>
      <w:r>
        <w:rPr>
          <w:rFonts w:hint="eastAsia" w:ascii="楷体" w:hAnsi="楷体" w:eastAsia="楷体"/>
          <w:color w:val="000000" w:themeColor="text1"/>
          <w:szCs w:val="21"/>
          <w14:textFill>
            <w14:solidFill>
              <w14:schemeClr w14:val="tx1"/>
            </w14:solidFill>
          </w14:textFill>
        </w:rPr>
        <w:t>中华人民共和国主席令</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center"/>
        <w:outlineLvl w:val="9"/>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第六十六号</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outlineLvl w:val="9"/>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《中华人民共和国刑法修正案（十一）》已由中华人民共和国第十三届全国人民代表大会常务委员会第二十四次会议于2020年12月26日通过，现予公布，自2021年3月1日起施行。</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right"/>
        <w:outlineLvl w:val="9"/>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 xml:space="preserve">中华人民共和国主席 </w:t>
      </w:r>
      <w:r>
        <w:rPr>
          <w:rFonts w:ascii="楷体" w:hAnsi="楷体" w:eastAsia="楷体"/>
          <w:color w:val="000000" w:themeColor="text1"/>
          <w:szCs w:val="21"/>
          <w14:textFill>
            <w14:solidFill>
              <w14:schemeClr w14:val="tx1"/>
            </w14:solidFill>
          </w14:textFill>
        </w:rPr>
        <w:t xml:space="preserve"> </w:t>
      </w:r>
      <w:r>
        <w:rPr>
          <w:rFonts w:hint="eastAsia" w:ascii="楷体" w:hAnsi="楷体" w:eastAsia="楷体"/>
          <w:color w:val="000000" w:themeColor="text1"/>
          <w:szCs w:val="21"/>
          <w14:textFill>
            <w14:solidFill>
              <w14:schemeClr w14:val="tx1"/>
            </w14:solidFill>
          </w14:textFill>
        </w:rPr>
        <w:t>习近平</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right"/>
        <w:outlineLvl w:val="9"/>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2020年12月26日</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outlineLvl w:val="9"/>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材料二：《中华人民共和国刑法修正案（十一）》涉及社会诸多领域中新问题、新社会关系的调整，更加贴近社会关切。《中华人民共和国刑法修正案（十一）（草案）》曾两次在网上公开征求社会公众意见，针对低年龄未成年人实施严重犯罪、冒名项替上大学等破坏社会公平正义底线的社会热点问题，通过相应条款的修改完善，积极回应社会关切，织密法网保护民众权益。</w:t>
      </w:r>
    </w:p>
    <w:p>
      <w:pPr>
        <w:keepNext w:val="0"/>
        <w:keepLines w:val="0"/>
        <w:pageBreakBefore w:val="0"/>
        <w:widowControl w:val="0"/>
        <w:kinsoku/>
        <w:wordWrap/>
        <w:overflowPunct/>
        <w:topLinePunct w:val="0"/>
        <w:autoSpaceDE/>
        <w:autoSpaceDN/>
        <w:bidi w:val="0"/>
        <w:adjustRightInd w:val="0"/>
        <w:snapToGrid/>
        <w:spacing w:line="240" w:lineRule="auto"/>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（1）材料一中提到的国家机构有（1）_</w:t>
      </w:r>
      <w:r>
        <w:rPr>
          <w:rFonts w:ascii="宋体" w:hAnsi="宋体"/>
          <w:color w:val="000000" w:themeColor="text1"/>
          <w:szCs w:val="21"/>
          <w14:textFill>
            <w14:solidFill>
              <w14:schemeClr w14:val="tx1"/>
            </w14:solidFill>
          </w14:textFill>
        </w:rPr>
        <w:t>____________________</w:t>
      </w:r>
      <w:r>
        <w:rPr>
          <w:rFonts w:hint="eastAsia" w:ascii="宋体" w:hAnsi="宋体"/>
          <w:color w:val="000000" w:themeColor="text1"/>
          <w:szCs w:val="21"/>
          <w14:textFill>
            <w14:solidFill>
              <w14:schemeClr w14:val="tx1"/>
            </w14:solidFill>
          </w14:textFill>
        </w:rPr>
        <w:t>和（2）_</w:t>
      </w:r>
      <w:r>
        <w:rPr>
          <w:rFonts w:ascii="宋体" w:hAnsi="宋体"/>
          <w:color w:val="000000" w:themeColor="text1"/>
          <w:szCs w:val="21"/>
          <w14:textFill>
            <w14:solidFill>
              <w14:schemeClr w14:val="tx1"/>
            </w14:solidFill>
          </w14:textFill>
        </w:rPr>
        <w:t>____________________</w:t>
      </w:r>
      <w:r>
        <w:rPr>
          <w:rFonts w:hint="eastAsia" w:ascii="宋体" w:hAnsi="宋体"/>
          <w:color w:val="000000" w:themeColor="text1"/>
          <w:szCs w:val="21"/>
          <w14:textFill>
            <w14:solidFill>
              <w14:schemeClr w14:val="tx1"/>
            </w14:solidFill>
          </w14:textFill>
        </w:rPr>
        <w:t>，（1）和（2）在材料一中行使的职权分别是_</w:t>
      </w:r>
      <w:r>
        <w:rPr>
          <w:rFonts w:ascii="宋体" w:hAnsi="宋体"/>
          <w:color w:val="000000" w:themeColor="text1"/>
          <w:szCs w:val="21"/>
          <w14:textFill>
            <w14:solidFill>
              <w14:schemeClr w14:val="tx1"/>
            </w14:solidFill>
          </w14:textFill>
        </w:rPr>
        <w:t>____________________</w:t>
      </w:r>
      <w:r>
        <w:rPr>
          <w:rFonts w:hint="eastAsia" w:ascii="宋体" w:hAnsi="宋体"/>
          <w:color w:val="000000" w:themeColor="text1"/>
          <w:szCs w:val="21"/>
          <w14:textFill>
            <w14:solidFill>
              <w14:schemeClr w14:val="tx1"/>
            </w14:solidFill>
          </w14:textFill>
        </w:rPr>
        <w:t>和_</w:t>
      </w:r>
      <w:r>
        <w:rPr>
          <w:rFonts w:ascii="宋体" w:hAnsi="宋体"/>
          <w:color w:val="000000" w:themeColor="text1"/>
          <w:szCs w:val="21"/>
          <w14:textFill>
            <w14:solidFill>
              <w14:schemeClr w14:val="tx1"/>
            </w14:solidFill>
          </w14:textFill>
        </w:rPr>
        <w:t>____________________</w:t>
      </w:r>
      <w:r>
        <w:rPr>
          <w:rFonts w:hint="eastAsia" w:ascii="宋体" w:hAnsi="宋体"/>
          <w:color w:val="000000" w:themeColor="text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spacing w:line="240" w:lineRule="auto"/>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请任选一个，上述的国家机构，试举一例说明它的其他职权。（6分）</w:t>
      </w:r>
    </w:p>
    <w:p>
      <w:pPr>
        <w:keepNext w:val="0"/>
        <w:keepLines w:val="0"/>
        <w:pageBreakBefore w:val="0"/>
        <w:widowControl w:val="0"/>
        <w:kinsoku/>
        <w:wordWrap/>
        <w:overflowPunct/>
        <w:topLinePunct w:val="0"/>
        <w:autoSpaceDE/>
        <w:autoSpaceDN/>
        <w:bidi w:val="0"/>
        <w:adjustRightInd w:val="0"/>
        <w:snapToGrid/>
        <w:spacing w:line="240" w:lineRule="auto"/>
        <w:outlineLvl w:val="9"/>
        <w:rPr>
          <w:rFonts w:ascii="宋体" w:hAnsi="宋体"/>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spacing w:line="240" w:lineRule="auto"/>
        <w:outlineLvl w:val="9"/>
        <w:rPr>
          <w:rFonts w:ascii="宋体" w:hAnsi="宋体"/>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spacing w:line="240" w:lineRule="auto"/>
        <w:outlineLvl w:val="9"/>
        <w:rPr>
          <w:rFonts w:ascii="宋体" w:hAnsi="宋体"/>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spacing w:line="240" w:lineRule="auto"/>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（2）请从“法治中国”的角度谈谈你对材料二的理解。（6分）</w:t>
      </w:r>
    </w:p>
    <w:p>
      <w:pPr>
        <w:keepNext w:val="0"/>
        <w:keepLines w:val="0"/>
        <w:pageBreakBefore w:val="0"/>
        <w:widowControl w:val="0"/>
        <w:kinsoku/>
        <w:wordWrap/>
        <w:overflowPunct/>
        <w:topLinePunct w:val="0"/>
        <w:autoSpaceDE/>
        <w:autoSpaceDN/>
        <w:bidi w:val="0"/>
        <w:snapToGrid/>
        <w:spacing w:line="240" w:lineRule="auto"/>
        <w:outlineLvl w:val="9"/>
      </w:pPr>
    </w:p>
    <w:p>
      <w:pPr>
        <w:keepNext w:val="0"/>
        <w:keepLines w:val="0"/>
        <w:pageBreakBefore w:val="0"/>
        <w:widowControl w:val="0"/>
        <w:kinsoku/>
        <w:wordWrap/>
        <w:overflowPunct/>
        <w:topLinePunct w:val="0"/>
        <w:autoSpaceDE/>
        <w:autoSpaceDN/>
        <w:bidi w:val="0"/>
        <w:snapToGrid/>
        <w:spacing w:line="240" w:lineRule="auto"/>
        <w:outlineLvl w:val="9"/>
      </w:pPr>
    </w:p>
    <w:p>
      <w:pPr>
        <w:keepNext w:val="0"/>
        <w:keepLines w:val="0"/>
        <w:pageBreakBefore w:val="0"/>
        <w:widowControl w:val="0"/>
        <w:kinsoku/>
        <w:wordWrap/>
        <w:overflowPunct/>
        <w:topLinePunct w:val="0"/>
        <w:autoSpaceDE/>
        <w:autoSpaceDN/>
        <w:bidi w:val="0"/>
        <w:snapToGrid/>
        <w:spacing w:line="240" w:lineRule="auto"/>
        <w:outlineLvl w:val="9"/>
      </w:pPr>
    </w:p>
    <w:p>
      <w:pPr>
        <w:keepNext w:val="0"/>
        <w:keepLines w:val="0"/>
        <w:pageBreakBefore w:val="0"/>
        <w:widowControl w:val="0"/>
        <w:kinsoku/>
        <w:wordWrap/>
        <w:overflowPunct/>
        <w:topLinePunct w:val="0"/>
        <w:autoSpaceDE/>
        <w:autoSpaceDN/>
        <w:bidi w:val="0"/>
        <w:snapToGrid/>
        <w:spacing w:line="240" w:lineRule="auto"/>
        <w:outlineLvl w:val="9"/>
      </w:pPr>
    </w:p>
    <w:p>
      <w:pPr>
        <w:keepNext w:val="0"/>
        <w:keepLines w:val="0"/>
        <w:pageBreakBefore w:val="0"/>
        <w:widowControl w:val="0"/>
        <w:kinsoku/>
        <w:wordWrap/>
        <w:overflowPunct/>
        <w:topLinePunct w:val="0"/>
        <w:autoSpaceDE/>
        <w:autoSpaceDN/>
        <w:bidi w:val="0"/>
        <w:snapToGrid/>
        <w:spacing w:line="240" w:lineRule="auto"/>
        <w:outlineLvl w:val="9"/>
      </w:pPr>
    </w:p>
    <w:p>
      <w:pPr>
        <w:keepNext w:val="0"/>
        <w:keepLines w:val="0"/>
        <w:pageBreakBefore w:val="0"/>
        <w:widowControl w:val="0"/>
        <w:kinsoku/>
        <w:wordWrap/>
        <w:overflowPunct/>
        <w:topLinePunct w:val="0"/>
        <w:autoSpaceDE/>
        <w:autoSpaceDN/>
        <w:bidi w:val="0"/>
        <w:snapToGrid/>
        <w:spacing w:line="240" w:lineRule="auto"/>
        <w:outlineLvl w:val="9"/>
      </w:pPr>
      <w:bookmarkStart w:id="0" w:name="_GoBack"/>
      <w:bookmarkEnd w:id="0"/>
    </w:p>
    <w:p>
      <w:pPr>
        <w:keepNext w:val="0"/>
        <w:keepLines w:val="0"/>
        <w:pageBreakBefore w:val="0"/>
        <w:widowControl w:val="0"/>
        <w:kinsoku/>
        <w:wordWrap/>
        <w:overflowPunct/>
        <w:topLinePunct w:val="0"/>
        <w:autoSpaceDE/>
        <w:autoSpaceDN/>
        <w:bidi w:val="0"/>
        <w:snapToGrid/>
        <w:spacing w:line="240" w:lineRule="auto"/>
        <w:jc w:val="left"/>
        <w:textAlignment w:val="center"/>
        <w:outlineLvl w:val="9"/>
        <w:rPr>
          <w:rFonts w:ascii="宋体" w:hAnsi="宋体" w:cs="宋体"/>
          <w:b/>
          <w:color w:val="000000"/>
          <w:sz w:val="24"/>
        </w:rPr>
      </w:pPr>
      <w:r>
        <w:rPr>
          <w:rFonts w:ascii="宋体" w:hAnsi="宋体" w:cs="宋体"/>
          <w:b/>
          <w:color w:val="000000"/>
          <w:sz w:val="24"/>
        </w:rPr>
        <w:t>二、时政探究题</w:t>
      </w:r>
      <w:r>
        <w:rPr>
          <w:rFonts w:ascii="宋体" w:hAnsi="宋体"/>
          <w:b/>
          <w:color w:val="000000"/>
          <w:sz w:val="24"/>
        </w:rPr>
        <w:t xml:space="preserve"> </w:t>
      </w:r>
      <w:r>
        <w:rPr>
          <w:rFonts w:ascii="宋体" w:hAnsi="宋体" w:cs="宋体"/>
          <w:b/>
          <w:color w:val="000000"/>
          <w:sz w:val="24"/>
        </w:rPr>
        <w:t>（本题共</w:t>
      </w:r>
      <w:r>
        <w:rPr>
          <w:rFonts w:ascii="宋体" w:hAnsi="宋体"/>
          <w:b/>
          <w:color w:val="000000"/>
          <w:sz w:val="24"/>
        </w:rPr>
        <w:t>10</w:t>
      </w:r>
      <w:r>
        <w:rPr>
          <w:rFonts w:ascii="宋体" w:hAnsi="宋体" w:cs="宋体"/>
          <w:b/>
          <w:color w:val="000000"/>
          <w:sz w:val="24"/>
        </w:rPr>
        <w:t>分）</w:t>
      </w:r>
    </w:p>
    <w:p>
      <w:pPr>
        <w:keepNext w:val="0"/>
        <w:keepLines w:val="0"/>
        <w:pageBreakBefore w:val="0"/>
        <w:widowControl w:val="0"/>
        <w:kinsoku/>
        <w:wordWrap/>
        <w:overflowPunct/>
        <w:topLinePunct w:val="0"/>
        <w:autoSpaceDE/>
        <w:autoSpaceDN/>
        <w:bidi w:val="0"/>
        <w:snapToGrid/>
        <w:spacing w:line="240" w:lineRule="auto"/>
        <w:ind w:firstLine="420"/>
        <w:jc w:val="left"/>
        <w:textAlignment w:val="center"/>
        <w:outlineLvl w:val="9"/>
        <w:rPr>
          <w:rFonts w:ascii="楷体" w:hAnsi="楷体" w:eastAsia="楷体" w:cs="楷体"/>
          <w:color w:val="000000"/>
        </w:rPr>
      </w:pPr>
      <w:r>
        <w:rPr>
          <w:rFonts w:ascii="楷体" w:hAnsi="楷体" w:eastAsia="楷体" w:cs="楷体"/>
          <w:color w:val="000000"/>
        </w:rPr>
        <w:t>我国提出力争2030年前实现碳达峰、2060年前实现碳中和。小阳同学围绕“碳达峰”和“碳中和"开展了研究性学习，下面是他收集的资料∶</w:t>
      </w:r>
    </w:p>
    <w:p>
      <w:pPr>
        <w:keepNext w:val="0"/>
        <w:keepLines w:val="0"/>
        <w:pageBreakBefore w:val="0"/>
        <w:widowControl w:val="0"/>
        <w:kinsoku/>
        <w:wordWrap/>
        <w:overflowPunct/>
        <w:topLinePunct w:val="0"/>
        <w:autoSpaceDE/>
        <w:autoSpaceDN/>
        <w:bidi w:val="0"/>
        <w:snapToGrid/>
        <w:spacing w:line="240" w:lineRule="auto"/>
        <w:ind w:firstLine="420"/>
        <w:jc w:val="left"/>
        <w:textAlignment w:val="center"/>
        <w:outlineLvl w:val="9"/>
        <w:rPr>
          <w:rFonts w:ascii="楷体" w:hAnsi="楷体" w:eastAsia="楷体" w:cs="楷体"/>
          <w:color w:val="000000"/>
        </w:rPr>
      </w:pPr>
      <w:r>
        <w:rPr>
          <w:rFonts w:ascii="楷体" w:hAnsi="楷体" w:eastAsia="楷体" w:cs="楷体"/>
          <w:color w:val="000000"/>
        </w:rPr>
        <w:t>材料一  “碳达峰"，就是指在某一个时点，二氧化碳的排放不再增长，达到峰值之后逐步回落。“碳中和"是指在一定时间内产生的二氧化碳或温室气体排放总量，通过植树造林、节能减排等途径实现抵消，达到相对“零排放"。</w:t>
      </w:r>
    </w:p>
    <w:p>
      <w:pPr>
        <w:keepNext w:val="0"/>
        <w:keepLines w:val="0"/>
        <w:pageBreakBefore w:val="0"/>
        <w:widowControl w:val="0"/>
        <w:kinsoku/>
        <w:wordWrap/>
        <w:overflowPunct/>
        <w:topLinePunct w:val="0"/>
        <w:autoSpaceDE/>
        <w:autoSpaceDN/>
        <w:bidi w:val="0"/>
        <w:snapToGrid/>
        <w:spacing w:line="240" w:lineRule="auto"/>
        <w:ind w:firstLine="420"/>
        <w:jc w:val="left"/>
        <w:textAlignment w:val="center"/>
        <w:outlineLvl w:val="9"/>
        <w:rPr>
          <w:rFonts w:ascii="楷体" w:hAnsi="楷体" w:eastAsia="楷体" w:cs="楷体"/>
          <w:color w:val="000000"/>
        </w:rPr>
      </w:pPr>
      <w:r>
        <w:rPr>
          <w:rFonts w:ascii="楷体" w:hAnsi="楷体" w:eastAsia="楷体" w:cs="楷体"/>
          <w:color w:val="000000"/>
        </w:rPr>
        <w:t>材料二   2016-2020 年我国国内生产总值及单位GDP能耗变化情况和历次全国森林资源清查数据。</w:t>
      </w:r>
    </w:p>
    <w:p>
      <w:pPr>
        <w:keepNext w:val="0"/>
        <w:keepLines w:val="0"/>
        <w:pageBreakBefore w:val="0"/>
        <w:widowControl w:val="0"/>
        <w:kinsoku/>
        <w:wordWrap/>
        <w:overflowPunct/>
        <w:topLinePunct w:val="0"/>
        <w:autoSpaceDE/>
        <w:autoSpaceDN/>
        <w:bidi w:val="0"/>
        <w:snapToGrid/>
        <w:spacing w:line="240" w:lineRule="auto"/>
        <w:jc w:val="left"/>
        <w:textAlignment w:val="center"/>
        <w:outlineLvl w:val="9"/>
        <w:rPr>
          <w:rFonts w:ascii="楷体" w:hAnsi="楷体" w:eastAsia="楷体"/>
          <w:color w:val="000000"/>
        </w:rPr>
      </w:pPr>
      <w:r>
        <w:rPr>
          <w:rFonts w:ascii="楷体" w:hAnsi="楷体" w:eastAsia="楷体" w:cs="宋体"/>
          <w:color w:val="000000"/>
        </w:rPr>
        <w:drawing>
          <wp:inline distT="0" distB="0" distL="0" distR="0">
            <wp:extent cx="4931410" cy="263271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4937821" cy="2635962"/>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snapToGrid/>
        <w:spacing w:line="240" w:lineRule="auto"/>
        <w:jc w:val="center"/>
        <w:textAlignment w:val="center"/>
        <w:outlineLvl w:val="9"/>
        <w:rPr>
          <w:rFonts w:ascii="楷体" w:hAnsi="楷体" w:eastAsia="楷体"/>
          <w:color w:val="000000"/>
        </w:rPr>
      </w:pPr>
      <w:r>
        <w:rPr>
          <w:rFonts w:ascii="楷体" w:hAnsi="楷体" w:eastAsia="楷体" w:cs="宋体"/>
          <w:color w:val="000000"/>
        </w:rPr>
        <w:t>图</w:t>
      </w:r>
      <w:r>
        <w:rPr>
          <w:rFonts w:ascii="楷体" w:hAnsi="楷体" w:eastAsia="楷体"/>
          <w:color w:val="000000"/>
        </w:rPr>
        <w:t>1</w:t>
      </w:r>
      <w:r>
        <w:rPr>
          <w:rFonts w:hint="eastAsia" w:ascii="楷体" w:hAnsi="楷体" w:eastAsia="楷体"/>
          <w:color w:val="000000"/>
        </w:rPr>
        <w:t xml:space="preserve"> </w:t>
      </w:r>
      <w:r>
        <w:rPr>
          <w:rFonts w:ascii="楷体" w:hAnsi="楷体" w:eastAsia="楷体"/>
          <w:color w:val="000000"/>
        </w:rPr>
        <w:t xml:space="preserve">   </w:t>
      </w:r>
      <w:r>
        <w:rPr>
          <w:rFonts w:ascii="楷体" w:hAnsi="楷体" w:eastAsia="楷体" w:cs="宋体"/>
          <w:color w:val="000000"/>
        </w:rPr>
        <w:t>数据来源∶国家统计局</w:t>
      </w:r>
      <w:r>
        <w:rPr>
          <w:rFonts w:ascii="楷体" w:hAnsi="楷体" w:eastAsia="楷体"/>
          <w:color w:val="000000"/>
          <w:position w:val="-22"/>
        </w:rPr>
        <w:drawing>
          <wp:inline distT="0" distB="0" distL="0" distR="0">
            <wp:extent cx="30480" cy="91440"/>
            <wp:effectExtent l="0" t="0" r="762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0480" cy="9144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snapToGrid/>
        <w:spacing w:line="240" w:lineRule="auto"/>
        <w:jc w:val="left"/>
        <w:textAlignment w:val="center"/>
        <w:outlineLvl w:val="9"/>
        <w:rPr>
          <w:rFonts w:ascii="楷体" w:hAnsi="楷体" w:eastAsia="楷体" w:cs="宋体"/>
          <w:color w:val="000000"/>
        </w:rPr>
      </w:pPr>
      <w:r>
        <w:rPr>
          <w:rFonts w:ascii="楷体" w:hAnsi="楷体" w:eastAsia="楷体" w:cs="宋体"/>
          <w:color w:val="000000"/>
        </w:rPr>
        <w:t>注∶单位</w:t>
      </w:r>
      <w:r>
        <w:rPr>
          <w:rFonts w:ascii="楷体" w:hAnsi="楷体" w:eastAsia="楷体"/>
          <w:color w:val="000000"/>
        </w:rPr>
        <w:t>GDP</w:t>
      </w:r>
      <w:r>
        <w:rPr>
          <w:rFonts w:ascii="楷体" w:hAnsi="楷体" w:eastAsia="楷体" w:cs="宋体"/>
          <w:color w:val="000000"/>
        </w:rPr>
        <w:t>能耗是反映能源消费水平和节能降耗状况的主要指标。该指标说明一个国家经济活动中对能源的利用程度，反映经济结构和能源利用效率的变化。</w:t>
      </w:r>
    </w:p>
    <w:p>
      <w:pPr>
        <w:keepNext w:val="0"/>
        <w:keepLines w:val="0"/>
        <w:pageBreakBefore w:val="0"/>
        <w:widowControl w:val="0"/>
        <w:kinsoku/>
        <w:wordWrap/>
        <w:overflowPunct/>
        <w:topLinePunct w:val="0"/>
        <w:autoSpaceDE/>
        <w:autoSpaceDN/>
        <w:bidi w:val="0"/>
        <w:snapToGrid/>
        <w:spacing w:line="240" w:lineRule="auto"/>
        <w:jc w:val="left"/>
        <w:textAlignment w:val="center"/>
        <w:outlineLvl w:val="9"/>
        <w:rPr>
          <w:rFonts w:ascii="楷体" w:hAnsi="楷体" w:eastAsia="楷体" w:cs="宋体"/>
          <w:color w:val="000000"/>
        </w:rPr>
      </w:pPr>
      <w:r>
        <w:rPr>
          <w:rFonts w:ascii="楷体" w:hAnsi="楷体" w:eastAsia="楷体" w:cs="宋体"/>
          <w:color w:val="000000"/>
        </w:rPr>
        <w:drawing>
          <wp:inline distT="0" distB="0" distL="0" distR="0">
            <wp:extent cx="5036185" cy="3054350"/>
            <wp:effectExtent l="0" t="0" r="0" b="0"/>
            <wp:docPr id="1" name="图片 1" descr="图表, 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 条形图&#10;&#10;描述已自动生成"/>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5085902" cy="3084239"/>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snapToGrid/>
        <w:spacing w:line="240" w:lineRule="auto"/>
        <w:jc w:val="center"/>
        <w:textAlignment w:val="center"/>
        <w:outlineLvl w:val="9"/>
        <w:rPr>
          <w:rFonts w:ascii="宋体" w:hAnsi="宋体"/>
          <w:color w:val="000000"/>
        </w:rPr>
      </w:pPr>
      <w:r>
        <w:rPr>
          <w:rFonts w:ascii="宋体" w:hAnsi="宋体" w:cs="宋体"/>
          <w:color w:val="000000"/>
        </w:rPr>
        <w:t>图</w:t>
      </w:r>
      <w:r>
        <w:rPr>
          <w:rFonts w:ascii="宋体" w:hAnsi="宋体"/>
          <w:color w:val="000000"/>
        </w:rPr>
        <w:t>2</w:t>
      </w:r>
    </w:p>
    <w:p>
      <w:pPr>
        <w:keepNext w:val="0"/>
        <w:keepLines w:val="0"/>
        <w:pageBreakBefore w:val="0"/>
        <w:widowControl w:val="0"/>
        <w:kinsoku/>
        <w:wordWrap/>
        <w:overflowPunct/>
        <w:topLinePunct w:val="0"/>
        <w:autoSpaceDE/>
        <w:autoSpaceDN/>
        <w:bidi w:val="0"/>
        <w:snapToGrid/>
        <w:spacing w:line="240" w:lineRule="auto"/>
        <w:jc w:val="left"/>
        <w:textAlignment w:val="center"/>
        <w:outlineLvl w:val="9"/>
        <w:rPr>
          <w:rFonts w:ascii="宋体" w:hAnsi="宋体" w:cs="宋体"/>
          <w:color w:val="000000"/>
        </w:rPr>
      </w:pPr>
      <w:r>
        <w:rPr>
          <w:rFonts w:ascii="宋体" w:hAnsi="宋体" w:cs="宋体"/>
          <w:color w:val="000000"/>
        </w:rPr>
        <w:t xml:space="preserve">(1)从图可以获得怎样的结论，其依据是什么？ </w:t>
      </w:r>
    </w:p>
    <w:p>
      <w:pPr>
        <w:keepNext w:val="0"/>
        <w:keepLines w:val="0"/>
        <w:pageBreakBefore w:val="0"/>
        <w:widowControl w:val="0"/>
        <w:kinsoku/>
        <w:wordWrap/>
        <w:overflowPunct/>
        <w:topLinePunct w:val="0"/>
        <w:autoSpaceDE/>
        <w:autoSpaceDN/>
        <w:bidi w:val="0"/>
        <w:snapToGrid/>
        <w:spacing w:line="240" w:lineRule="auto"/>
        <w:jc w:val="left"/>
        <w:textAlignment w:val="center"/>
        <w:outlineLvl w:val="9"/>
        <w:rPr>
          <w:rFonts w:ascii="宋体" w:hAnsi="宋体" w:cs="宋体"/>
          <w:color w:val="000000"/>
        </w:rPr>
      </w:pPr>
    </w:p>
    <w:p>
      <w:pPr>
        <w:keepNext w:val="0"/>
        <w:keepLines w:val="0"/>
        <w:pageBreakBefore w:val="0"/>
        <w:widowControl w:val="0"/>
        <w:kinsoku/>
        <w:wordWrap/>
        <w:overflowPunct/>
        <w:topLinePunct w:val="0"/>
        <w:autoSpaceDE/>
        <w:autoSpaceDN/>
        <w:bidi w:val="0"/>
        <w:snapToGrid/>
        <w:spacing w:line="240" w:lineRule="auto"/>
        <w:jc w:val="left"/>
        <w:textAlignment w:val="center"/>
        <w:outlineLvl w:val="9"/>
        <w:rPr>
          <w:rFonts w:ascii="宋体" w:hAnsi="宋体" w:cs="宋体"/>
          <w:color w:val="000000"/>
        </w:rPr>
      </w:pPr>
    </w:p>
    <w:p>
      <w:pPr>
        <w:keepNext w:val="0"/>
        <w:keepLines w:val="0"/>
        <w:pageBreakBefore w:val="0"/>
        <w:widowControl w:val="0"/>
        <w:kinsoku/>
        <w:wordWrap/>
        <w:overflowPunct/>
        <w:topLinePunct w:val="0"/>
        <w:autoSpaceDE/>
        <w:autoSpaceDN/>
        <w:bidi w:val="0"/>
        <w:snapToGrid/>
        <w:spacing w:line="240" w:lineRule="auto"/>
        <w:jc w:val="left"/>
        <w:textAlignment w:val="center"/>
        <w:outlineLvl w:val="9"/>
        <w:rPr>
          <w:rFonts w:ascii="宋体" w:hAnsi="宋体" w:cs="宋体"/>
          <w:color w:val="000000"/>
        </w:rPr>
      </w:pPr>
    </w:p>
    <w:p>
      <w:pPr>
        <w:keepNext w:val="0"/>
        <w:keepLines w:val="0"/>
        <w:pageBreakBefore w:val="0"/>
        <w:widowControl w:val="0"/>
        <w:kinsoku/>
        <w:wordWrap/>
        <w:overflowPunct/>
        <w:topLinePunct w:val="0"/>
        <w:autoSpaceDE/>
        <w:autoSpaceDN/>
        <w:bidi w:val="0"/>
        <w:snapToGrid/>
        <w:spacing w:line="240" w:lineRule="auto"/>
        <w:jc w:val="left"/>
        <w:textAlignment w:val="center"/>
        <w:outlineLvl w:val="9"/>
        <w:rPr>
          <w:rFonts w:ascii="宋体" w:hAnsi="宋体" w:cs="宋体"/>
          <w:color w:val="000000"/>
        </w:rPr>
      </w:pPr>
      <w:r>
        <w:rPr>
          <w:rFonts w:ascii="宋体" w:hAnsi="宋体" w:cs="宋体"/>
          <w:color w:val="000000"/>
        </w:rPr>
        <w:t>(2)小阳同学对我国实现“碳达峰”“碳中和"的目标充满信心。结合图的信息，综合运用所学内容分析小阳充满信心的理由。</w:t>
      </w:r>
    </w:p>
    <w:p>
      <w:pPr>
        <w:keepNext w:val="0"/>
        <w:keepLines w:val="0"/>
        <w:pageBreakBefore w:val="0"/>
        <w:widowControl w:val="0"/>
        <w:kinsoku/>
        <w:wordWrap/>
        <w:overflowPunct/>
        <w:topLinePunct w:val="0"/>
        <w:autoSpaceDE/>
        <w:autoSpaceDN/>
        <w:bidi w:val="0"/>
        <w:snapToGrid/>
        <w:spacing w:line="240" w:lineRule="auto"/>
        <w:outlineLvl w:val="9"/>
      </w:pPr>
    </w:p>
    <w:p>
      <w:pPr>
        <w:keepNext w:val="0"/>
        <w:keepLines w:val="0"/>
        <w:pageBreakBefore w:val="0"/>
        <w:widowControl w:val="0"/>
        <w:kinsoku/>
        <w:wordWrap/>
        <w:overflowPunct/>
        <w:topLinePunct w:val="0"/>
        <w:autoSpaceDE/>
        <w:autoSpaceDN/>
        <w:bidi w:val="0"/>
        <w:snapToGrid/>
        <w:spacing w:line="240" w:lineRule="auto"/>
        <w:outlineLvl w:val="9"/>
      </w:pPr>
    </w:p>
    <w:p>
      <w:pPr>
        <w:keepNext w:val="0"/>
        <w:keepLines w:val="0"/>
        <w:pageBreakBefore w:val="0"/>
        <w:widowControl w:val="0"/>
        <w:kinsoku/>
        <w:wordWrap/>
        <w:overflowPunct/>
        <w:topLinePunct w:val="0"/>
        <w:autoSpaceDE/>
        <w:autoSpaceDN/>
        <w:bidi w:val="0"/>
        <w:snapToGrid/>
        <w:spacing w:line="240" w:lineRule="auto"/>
        <w:outlineLvl w:val="9"/>
      </w:pPr>
    </w:p>
    <w:p>
      <w:pPr>
        <w:keepNext w:val="0"/>
        <w:keepLines w:val="0"/>
        <w:pageBreakBefore w:val="0"/>
        <w:widowControl w:val="0"/>
        <w:kinsoku/>
        <w:wordWrap/>
        <w:overflowPunct/>
        <w:topLinePunct w:val="0"/>
        <w:autoSpaceDE/>
        <w:autoSpaceDN/>
        <w:bidi w:val="0"/>
        <w:snapToGrid/>
        <w:spacing w:line="240" w:lineRule="auto"/>
        <w:outlineLvl w:val="9"/>
      </w:pPr>
    </w:p>
    <w:p>
      <w:pPr>
        <w:keepNext w:val="0"/>
        <w:keepLines w:val="0"/>
        <w:pageBreakBefore w:val="0"/>
        <w:widowControl w:val="0"/>
        <w:kinsoku/>
        <w:wordWrap/>
        <w:overflowPunct/>
        <w:topLinePunct w:val="0"/>
        <w:autoSpaceDE/>
        <w:autoSpaceDN/>
        <w:bidi w:val="0"/>
        <w:snapToGrid/>
        <w:spacing w:line="240" w:lineRule="auto"/>
        <w:outlineLvl w:val="9"/>
      </w:pPr>
    </w:p>
    <w:p>
      <w:pPr>
        <w:keepNext w:val="0"/>
        <w:keepLines w:val="0"/>
        <w:pageBreakBefore w:val="0"/>
        <w:widowControl w:val="0"/>
        <w:kinsoku/>
        <w:wordWrap/>
        <w:overflowPunct/>
        <w:topLinePunct w:val="0"/>
        <w:autoSpaceDE/>
        <w:autoSpaceDN/>
        <w:bidi w:val="0"/>
        <w:snapToGrid/>
        <w:spacing w:line="240" w:lineRule="auto"/>
        <w:outlineLvl w:val="9"/>
      </w:pPr>
    </w:p>
    <w:p>
      <w:pPr>
        <w:keepNext w:val="0"/>
        <w:keepLines w:val="0"/>
        <w:pageBreakBefore w:val="0"/>
        <w:widowControl w:val="0"/>
        <w:kinsoku/>
        <w:wordWrap/>
        <w:overflowPunct/>
        <w:topLinePunct w:val="0"/>
        <w:autoSpaceDE/>
        <w:autoSpaceDN/>
        <w:bidi w:val="0"/>
        <w:snapToGrid/>
        <w:spacing w:line="240" w:lineRule="auto"/>
        <w:outlineLvl w:val="9"/>
      </w:pPr>
    </w:p>
    <w:p>
      <w:pPr>
        <w:keepNext w:val="0"/>
        <w:keepLines w:val="0"/>
        <w:pageBreakBefore w:val="0"/>
        <w:widowControl w:val="0"/>
        <w:kinsoku/>
        <w:wordWrap/>
        <w:overflowPunct/>
        <w:topLinePunct w:val="0"/>
        <w:autoSpaceDE/>
        <w:autoSpaceDN/>
        <w:bidi w:val="0"/>
        <w:adjustRightInd w:val="0"/>
        <w:snapToGrid/>
        <w:spacing w:line="240" w:lineRule="auto"/>
        <w:outlineLvl w:val="9"/>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三、案例分析题（8分）</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outlineLvl w:val="9"/>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为保护学生视力，让学生在学校专心学习，防止沉迷网络和游戏，促进学生身心健康发展，教育部办公厅发布了《关于加强中小学生手机管理工作的通知》，通知规定了学生手机有限带入校园，原则上不得将个人手机带入校园，禁止带入课堂；不得要求学生利用手机完成作业等内容。</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outlineLvl w:val="9"/>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某校时政探究小组就全校同学落实此《通知》的情况进行了调查。发现以下现象：有的家长任由孩子带两个手机，入校后上交一个，留一个便于联系；有同学表示不理解，带手机是自己的自由，凭什么要限制；还有同学表示使用手机学习是顺应信息时代的特点，在学校也需要手机查询资料，没办法不用。</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为了改变上述现象，落实《通知》要求，请结合案例，综合运用所学内容。为学校规范学生合理使用手机出谋划策。</w:t>
      </w:r>
    </w:p>
    <w:p>
      <w:pPr>
        <w:keepNext w:val="0"/>
        <w:keepLines w:val="0"/>
        <w:pageBreakBefore w:val="0"/>
        <w:widowControl w:val="0"/>
        <w:kinsoku/>
        <w:wordWrap/>
        <w:overflowPunct/>
        <w:topLinePunct w:val="0"/>
        <w:autoSpaceDE/>
        <w:autoSpaceDN/>
        <w:bidi w:val="0"/>
        <w:snapToGrid/>
        <w:spacing w:line="240" w:lineRule="auto"/>
        <w:outlineLvl w:val="9"/>
      </w:pPr>
    </w:p>
    <w:sectPr>
      <w:headerReference r:id="rId3" w:type="firs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04800" cy="228600"/>
          <wp:effectExtent l="0" t="0" r="0" b="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
                  <a:stretch>
                    <a:fillRect/>
                  </a:stretch>
                </pic:blipFill>
                <pic:spPr>
                  <a:xfrm>
                    <a:off x="0" y="0"/>
                    <a:ext cx="304800" cy="2286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52B"/>
    <w:rsid w:val="003751DE"/>
    <w:rsid w:val="004C352B"/>
    <w:rsid w:val="00640352"/>
    <w:rsid w:val="00710514"/>
    <w:rsid w:val="008B44F9"/>
    <w:rsid w:val="00EA5080"/>
    <w:rsid w:val="0C015632"/>
    <w:rsid w:val="0D8D4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wmf"/><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2A0DCC-F59E-4EA6-ADD3-151F5C3C0206}">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199</Words>
  <Characters>1136</Characters>
  <Lines>9</Lines>
  <Paragraphs>2</Paragraphs>
  <TotalTime>0</TotalTime>
  <ScaleCrop>false</ScaleCrop>
  <LinksUpToDate>false</LinksUpToDate>
  <CharactersWithSpaces>1333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2021-06-18T09:44:00Z</dcterms:created>
  <dc:creator>Administrator</dc:creator>
  <cp:lastModifiedBy>Administrator</cp:lastModifiedBy>
  <dcterms:modified xsi:type="dcterms:W3CDTF">2022-01-24T11:21:28Z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