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F367C" w:rsidRDefault="00C914E2">
      <w:pPr>
        <w:rPr>
          <w:rFonts w:ascii="Calibri" w:hAnsi="宋体"/>
        </w:rPr>
      </w:pPr>
      <w:bookmarkStart w:id="0" w:name="_GoBack"/>
      <w:bookmarkEnd w:id="0"/>
      <w:r>
        <w:rPr>
          <w:rFonts w:ascii="Calibri" w:hAnsi="宋体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11099800</wp:posOffset>
            </wp:positionH>
            <wp:positionV relativeFrom="topMargin">
              <wp:posOffset>11671300</wp:posOffset>
            </wp:positionV>
            <wp:extent cx="482600" cy="406400"/>
            <wp:effectExtent l="0" t="0" r="5080" b="5080"/>
            <wp:wrapNone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w:drawing>
          <wp:inline distT="0" distB="0" distL="0" distR="0">
            <wp:extent cx="5092700" cy="7801610"/>
            <wp:effectExtent l="0" t="0" r="0" b="0"/>
            <wp:docPr id="2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16" r="1991"/>
                    <a:stretch>
                      <a:fillRect/>
                    </a:stretch>
                  </pic:blipFill>
                  <pic:spPr>
                    <a:xfrm>
                      <a:off x="0" y="0"/>
                      <a:ext cx="5093335" cy="7802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367C" w:rsidRDefault="00C914E2">
      <w:pPr>
        <w:rPr>
          <w:rFonts w:ascii="Calibri" w:hAnsi="宋体"/>
        </w:rPr>
      </w:pPr>
      <w:r>
        <w:rPr>
          <w:noProof/>
          <w:sz w:val="20"/>
        </w:rPr>
        <w:lastRenderedPageBreak/>
        <w:drawing>
          <wp:inline distT="0" distB="0" distL="0" distR="0">
            <wp:extent cx="5184775" cy="7372350"/>
            <wp:effectExtent l="0" t="0" r="0" b="0"/>
            <wp:docPr id="5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5410" cy="737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367C" w:rsidRDefault="00C914E2">
      <w:pPr>
        <w:rPr>
          <w:rFonts w:ascii="Calibri" w:hAnsi="宋体"/>
        </w:rPr>
      </w:pPr>
      <w:r>
        <w:rPr>
          <w:noProof/>
          <w:sz w:val="20"/>
        </w:rPr>
        <w:lastRenderedPageBreak/>
        <w:drawing>
          <wp:inline distT="0" distB="0" distL="0" distR="0">
            <wp:extent cx="5184775" cy="7780020"/>
            <wp:effectExtent l="0" t="0" r="0" b="0"/>
            <wp:docPr id="9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5410" cy="778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367C" w:rsidRDefault="00C914E2">
      <w:pPr>
        <w:spacing w:line="600" w:lineRule="exact"/>
        <w:jc w:val="center"/>
        <w:rPr>
          <w:rFonts w:ascii="方正大标宋简体" w:hAnsi="宋体"/>
          <w:sz w:val="44"/>
          <w:szCs w:val="44"/>
        </w:rPr>
      </w:pPr>
      <w:r>
        <w:rPr>
          <w:rFonts w:ascii="方正大标宋简体" w:eastAsia="方正大标宋简体" w:hAnsi="方正大标宋简体"/>
          <w:sz w:val="44"/>
          <w:szCs w:val="44"/>
        </w:rPr>
        <w:t>2021—2022</w:t>
      </w:r>
      <w:r>
        <w:rPr>
          <w:rFonts w:ascii="方正魏碑简体" w:eastAsia="方正魏碑简体" w:hAnsi="方正魏碑简体"/>
          <w:sz w:val="44"/>
          <w:szCs w:val="44"/>
        </w:rPr>
        <w:t>学年度第一学期期末考试</w:t>
      </w:r>
    </w:p>
    <w:p w:rsidR="00FF367C" w:rsidRDefault="00C914E2">
      <w:pPr>
        <w:spacing w:line="600" w:lineRule="exact"/>
        <w:jc w:val="center"/>
        <w:rPr>
          <w:rFonts w:ascii="方正大标宋简体" w:hAnsi="宋体"/>
          <w:sz w:val="44"/>
          <w:szCs w:val="44"/>
        </w:rPr>
      </w:pPr>
      <w:r>
        <w:rPr>
          <w:rFonts w:ascii="方正大标宋简体" w:eastAsia="方正大标宋简体" w:hAnsi="方正大标宋简体"/>
          <w:sz w:val="44"/>
          <w:szCs w:val="44"/>
        </w:rPr>
        <w:t>九</w:t>
      </w:r>
      <w:r>
        <w:rPr>
          <w:rFonts w:ascii="方正大标宋简体" w:hAnsi="宋体"/>
          <w:sz w:val="44"/>
          <w:szCs w:val="44"/>
        </w:rPr>
        <w:t>年级</w:t>
      </w:r>
      <w:r>
        <w:rPr>
          <w:rFonts w:ascii="方正大标宋简体" w:eastAsia="方正大标宋简体" w:hAnsi="方正大标宋简体"/>
          <w:sz w:val="44"/>
          <w:szCs w:val="44"/>
        </w:rPr>
        <w:t>历史</w:t>
      </w:r>
      <w:r>
        <w:rPr>
          <w:rFonts w:ascii="方正大标宋简体" w:hAnsi="宋体"/>
          <w:sz w:val="44"/>
          <w:szCs w:val="44"/>
        </w:rPr>
        <w:t>参考答案及评分标准</w:t>
      </w:r>
    </w:p>
    <w:p w:rsidR="00FF367C" w:rsidRDefault="00FF367C">
      <w:pPr>
        <w:rPr>
          <w:rFonts w:ascii="黑体" w:eastAsia="黑体" w:hAnsi="黑体"/>
        </w:rPr>
      </w:pPr>
    </w:p>
    <w:p w:rsidR="00FF367C" w:rsidRDefault="00C914E2">
      <w:pPr>
        <w:rPr>
          <w:rFonts w:ascii="黑体" w:eastAsia="黑体" w:hAnsi="黑体"/>
        </w:rPr>
      </w:pPr>
      <w:r>
        <w:rPr>
          <w:rFonts w:ascii="黑体" w:eastAsia="黑体" w:hAnsi="黑体"/>
        </w:rPr>
        <w:t>一、单项选择题（</w:t>
      </w:r>
      <w:r>
        <w:rPr>
          <w:rFonts w:ascii="黑体" w:eastAsia="黑体" w:hAnsi="黑体"/>
          <w:color w:val="000000"/>
        </w:rPr>
        <w:t>每小题</w:t>
      </w:r>
      <w:r>
        <w:rPr>
          <w:rFonts w:eastAsia="黑体" w:hAnsi="黑体"/>
          <w:color w:val="000000"/>
        </w:rPr>
        <w:t>1</w:t>
      </w:r>
      <w:r>
        <w:rPr>
          <w:rFonts w:ascii="黑体" w:eastAsia="黑体" w:hAnsi="黑体"/>
          <w:color w:val="000000"/>
        </w:rPr>
        <w:t>分，计</w:t>
      </w:r>
      <w:r>
        <w:rPr>
          <w:rFonts w:eastAsia="黑体" w:hAnsi="黑体"/>
          <w:color w:val="000000"/>
        </w:rPr>
        <w:t>20</w:t>
      </w:r>
      <w:r>
        <w:rPr>
          <w:rFonts w:ascii="黑体" w:eastAsia="黑体" w:hAnsi="黑体"/>
          <w:color w:val="000000"/>
        </w:rPr>
        <w:t>分</w:t>
      </w:r>
      <w:r>
        <w:rPr>
          <w:rFonts w:ascii="黑体" w:eastAsia="黑体" w:hAnsi="黑体"/>
        </w:rPr>
        <w:t>）</w:t>
      </w:r>
    </w:p>
    <w:p w:rsidR="00FF367C" w:rsidRDefault="00C914E2">
      <w:r>
        <w:rPr>
          <w:rFonts w:eastAsia="Times New Roman"/>
        </w:rPr>
        <w:t xml:space="preserve">1—10   </w:t>
      </w:r>
      <w:r>
        <w:rPr>
          <w:rFonts w:hAnsi="宋体"/>
        </w:rPr>
        <w:t>A</w:t>
      </w:r>
      <w:r>
        <w:rPr>
          <w:rFonts w:eastAsia="Times New Roman"/>
        </w:rPr>
        <w:t>D</w:t>
      </w:r>
      <w:r>
        <w:rPr>
          <w:rFonts w:hAnsi="宋体"/>
        </w:rPr>
        <w:t>A</w:t>
      </w:r>
      <w:r>
        <w:rPr>
          <w:rFonts w:eastAsia="Times New Roman"/>
        </w:rPr>
        <w:t>C</w:t>
      </w:r>
      <w:r>
        <w:rPr>
          <w:rFonts w:hAnsi="宋体"/>
        </w:rPr>
        <w:t>D</w:t>
      </w:r>
      <w:r>
        <w:rPr>
          <w:rFonts w:eastAsia="Times New Roman"/>
        </w:rPr>
        <w:t xml:space="preserve">     </w:t>
      </w:r>
      <w:r>
        <w:rPr>
          <w:rFonts w:hAnsi="宋体"/>
        </w:rPr>
        <w:t>BBCAB</w:t>
      </w:r>
      <w:r>
        <w:rPr>
          <w:rFonts w:hAnsi="宋体"/>
        </w:rPr>
        <w:tab/>
      </w:r>
      <w:r>
        <w:rPr>
          <w:rFonts w:hAnsi="宋体"/>
        </w:rPr>
        <w:tab/>
      </w:r>
      <w:r>
        <w:rPr>
          <w:rFonts w:eastAsia="Times New Roman"/>
        </w:rPr>
        <w:t xml:space="preserve">11—20  </w:t>
      </w:r>
      <w:r>
        <w:rPr>
          <w:rFonts w:hAnsi="宋体"/>
        </w:rPr>
        <w:t>C</w:t>
      </w:r>
      <w:r>
        <w:rPr>
          <w:rFonts w:eastAsia="Times New Roman"/>
        </w:rPr>
        <w:t>D</w:t>
      </w:r>
      <w:r>
        <w:rPr>
          <w:rFonts w:hAnsi="宋体"/>
        </w:rPr>
        <w:t>ADB</w:t>
      </w:r>
      <w:r>
        <w:rPr>
          <w:rFonts w:eastAsia="Times New Roman"/>
        </w:rPr>
        <w:t xml:space="preserve">     </w:t>
      </w:r>
      <w:r>
        <w:rPr>
          <w:rFonts w:hAnsi="宋体"/>
        </w:rPr>
        <w:t>BCDBD</w:t>
      </w:r>
    </w:p>
    <w:p w:rsidR="00FF367C" w:rsidRDefault="00FF367C">
      <w:pPr>
        <w:rPr>
          <w:rFonts w:ascii="Calibri" w:hAnsi="宋体"/>
        </w:rPr>
      </w:pPr>
    </w:p>
    <w:p w:rsidR="00FF367C" w:rsidRDefault="00C914E2">
      <w:pPr>
        <w:rPr>
          <w:rFonts w:ascii="黑体" w:eastAsia="黑体" w:hAnsi="黑体"/>
        </w:rPr>
      </w:pPr>
      <w:r>
        <w:rPr>
          <w:rFonts w:ascii="黑体" w:eastAsia="黑体" w:hAnsi="黑体"/>
        </w:rPr>
        <w:t>二、材料分析题（</w:t>
      </w:r>
      <w:r>
        <w:rPr>
          <w:rFonts w:eastAsia="黑体" w:hAnsi="黑体"/>
          <w:color w:val="000000"/>
        </w:rPr>
        <w:t>本题共</w:t>
      </w:r>
      <w:r>
        <w:rPr>
          <w:rFonts w:eastAsia="黑体" w:hAnsi="黑体"/>
          <w:color w:val="000000"/>
        </w:rPr>
        <w:t>3</w:t>
      </w:r>
      <w:r>
        <w:rPr>
          <w:rFonts w:eastAsia="黑体" w:hAnsi="黑体"/>
          <w:color w:val="000000"/>
        </w:rPr>
        <w:t>小题，第</w:t>
      </w:r>
      <w:r>
        <w:rPr>
          <w:rFonts w:eastAsia="黑体" w:hAnsi="黑体"/>
          <w:color w:val="000000"/>
        </w:rPr>
        <w:t>21</w:t>
      </w:r>
      <w:r>
        <w:rPr>
          <w:rFonts w:eastAsia="黑体" w:hAnsi="黑体"/>
          <w:color w:val="000000"/>
        </w:rPr>
        <w:t>题</w:t>
      </w:r>
      <w:r>
        <w:rPr>
          <w:rFonts w:eastAsia="黑体" w:hAnsi="黑体"/>
          <w:color w:val="000000"/>
        </w:rPr>
        <w:t>10</w:t>
      </w:r>
      <w:r>
        <w:rPr>
          <w:rFonts w:eastAsia="黑体" w:hAnsi="黑体"/>
          <w:color w:val="000000"/>
        </w:rPr>
        <w:t>分，第</w:t>
      </w:r>
      <w:r>
        <w:rPr>
          <w:rFonts w:eastAsia="黑体" w:hAnsi="黑体"/>
          <w:color w:val="000000"/>
        </w:rPr>
        <w:t>22</w:t>
      </w:r>
      <w:r>
        <w:rPr>
          <w:rFonts w:eastAsia="黑体" w:hAnsi="黑体"/>
          <w:color w:val="000000"/>
        </w:rPr>
        <w:t>题</w:t>
      </w:r>
      <w:r>
        <w:rPr>
          <w:rFonts w:eastAsia="黑体" w:hAnsi="黑体"/>
          <w:color w:val="000000"/>
        </w:rPr>
        <w:t>10</w:t>
      </w:r>
      <w:r>
        <w:rPr>
          <w:rFonts w:eastAsia="黑体" w:hAnsi="黑体"/>
          <w:color w:val="000000"/>
        </w:rPr>
        <w:t>分，第</w:t>
      </w:r>
      <w:r>
        <w:rPr>
          <w:rFonts w:eastAsia="黑体" w:hAnsi="黑体"/>
          <w:color w:val="000000"/>
        </w:rPr>
        <w:t>23</w:t>
      </w:r>
      <w:r>
        <w:rPr>
          <w:rFonts w:eastAsia="黑体" w:hAnsi="黑体"/>
          <w:color w:val="000000"/>
        </w:rPr>
        <w:t>题</w:t>
      </w:r>
      <w:r>
        <w:rPr>
          <w:rFonts w:eastAsia="黑体" w:hAnsi="黑体"/>
          <w:color w:val="000000"/>
        </w:rPr>
        <w:t>10</w:t>
      </w:r>
      <w:r>
        <w:rPr>
          <w:rFonts w:eastAsia="黑体" w:hAnsi="黑体"/>
          <w:color w:val="000000"/>
        </w:rPr>
        <w:t>分，计</w:t>
      </w:r>
      <w:r>
        <w:rPr>
          <w:rFonts w:eastAsia="黑体" w:hAnsi="黑体"/>
          <w:color w:val="000000"/>
        </w:rPr>
        <w:t>30</w:t>
      </w:r>
      <w:r>
        <w:rPr>
          <w:rFonts w:eastAsia="黑体" w:hAnsi="黑体"/>
          <w:color w:val="000000"/>
        </w:rPr>
        <w:t>分。</w:t>
      </w:r>
      <w:r>
        <w:rPr>
          <w:rFonts w:ascii="黑体" w:eastAsia="黑体" w:hAnsi="黑体"/>
        </w:rPr>
        <w:t>）</w:t>
      </w:r>
    </w:p>
    <w:p w:rsidR="00FF367C" w:rsidRDefault="00C914E2">
      <w:r>
        <w:rPr>
          <w:rFonts w:eastAsia="Times New Roman"/>
        </w:rPr>
        <w:t>21. （10分）</w:t>
      </w:r>
    </w:p>
    <w:p w:rsidR="00FF367C" w:rsidRDefault="00C914E2">
      <w:r>
        <w:rPr>
          <w:rFonts w:eastAsia="Times New Roman"/>
        </w:rPr>
        <w:t>（1）</w:t>
      </w:r>
      <w:r>
        <w:rPr>
          <w:rFonts w:hAnsi="宋体"/>
          <w:b/>
        </w:rPr>
        <w:t>改革</w:t>
      </w:r>
      <w:r>
        <w:rPr>
          <w:rFonts w:eastAsia="Times New Roman"/>
          <w:b/>
        </w:rPr>
        <w:t>：</w:t>
      </w:r>
      <w:r>
        <w:rPr>
          <w:rFonts w:hAnsi="宋体"/>
        </w:rPr>
        <w:t>大化改新</w:t>
      </w:r>
      <w:r>
        <w:rPr>
          <w:rFonts w:eastAsia="Times New Roman"/>
        </w:rPr>
        <w:t>（1分）；</w:t>
      </w:r>
      <w:r>
        <w:rPr>
          <w:rFonts w:hAnsi="宋体"/>
          <w:b/>
        </w:rPr>
        <w:t>内涵</w:t>
      </w:r>
      <w:r>
        <w:rPr>
          <w:rFonts w:eastAsia="Times New Roman"/>
          <w:b/>
        </w:rPr>
        <w:t>：</w:t>
      </w:r>
      <w:r>
        <w:rPr>
          <w:rFonts w:hAnsi="宋体"/>
        </w:rPr>
        <w:t>使日本发展成为一个中央集权的封建国家（或：使日本由奴隶制社会转变为封建社会）</w:t>
      </w:r>
      <w:r>
        <w:rPr>
          <w:rFonts w:eastAsia="Times New Roman"/>
        </w:rPr>
        <w:t>（</w:t>
      </w:r>
      <w:r>
        <w:rPr>
          <w:rFonts w:hAnsi="宋体"/>
        </w:rPr>
        <w:t>2</w:t>
      </w:r>
      <w:r>
        <w:rPr>
          <w:rFonts w:eastAsia="Times New Roman"/>
        </w:rPr>
        <w:t>分）；</w:t>
      </w:r>
    </w:p>
    <w:p w:rsidR="00FF367C" w:rsidRDefault="00C914E2">
      <w:r>
        <w:rPr>
          <w:rFonts w:eastAsia="Times New Roman"/>
        </w:rPr>
        <w:t>（2）</w:t>
      </w:r>
      <w:r>
        <w:rPr>
          <w:rFonts w:hAnsi="宋体"/>
          <w:b/>
        </w:rPr>
        <w:t>思想变化</w:t>
      </w:r>
      <w:r>
        <w:rPr>
          <w:rFonts w:eastAsia="Times New Roman"/>
          <w:b/>
        </w:rPr>
        <w:t>：</w:t>
      </w:r>
      <w:r>
        <w:rPr>
          <w:rFonts w:hAnsi="宋体"/>
        </w:rPr>
        <w:t>由人文主义到理性主义</w:t>
      </w:r>
      <w:r>
        <w:rPr>
          <w:rFonts w:eastAsia="Times New Roman"/>
        </w:rPr>
        <w:t>（</w:t>
      </w:r>
      <w:r>
        <w:rPr>
          <w:rFonts w:hAnsi="宋体"/>
        </w:rPr>
        <w:t>2</w:t>
      </w:r>
      <w:r>
        <w:rPr>
          <w:rFonts w:eastAsia="Times New Roman"/>
        </w:rPr>
        <w:t>分）；</w:t>
      </w:r>
    </w:p>
    <w:p w:rsidR="00FF367C" w:rsidRDefault="00C914E2">
      <w:pPr>
        <w:ind w:firstLine="527"/>
      </w:pPr>
      <w:r>
        <w:rPr>
          <w:rFonts w:hAnsi="宋体"/>
          <w:b/>
        </w:rPr>
        <w:t>政治诉求</w:t>
      </w:r>
      <w:r>
        <w:rPr>
          <w:rFonts w:eastAsia="Times New Roman"/>
          <w:b/>
        </w:rPr>
        <w:t>：</w:t>
      </w:r>
      <w:r>
        <w:rPr>
          <w:rFonts w:hAnsi="宋体"/>
        </w:rPr>
        <w:t>抨击封建制度，反对君主专制</w:t>
      </w:r>
      <w:r>
        <w:rPr>
          <w:rFonts w:eastAsia="Times New Roman"/>
        </w:rPr>
        <w:t>（1分）；</w:t>
      </w:r>
    </w:p>
    <w:p w:rsidR="00FF367C" w:rsidRDefault="00C914E2">
      <w:r>
        <w:rPr>
          <w:rFonts w:eastAsia="Times New Roman"/>
        </w:rPr>
        <w:t>（3）</w:t>
      </w:r>
      <w:r>
        <w:rPr>
          <w:rFonts w:hAnsi="宋体"/>
          <w:b/>
        </w:rPr>
        <w:t>动力变化</w:t>
      </w:r>
      <w:r>
        <w:rPr>
          <w:rFonts w:eastAsia="Times New Roman"/>
          <w:b/>
        </w:rPr>
        <w:t>：</w:t>
      </w:r>
      <w:r>
        <w:rPr>
          <w:rFonts w:hAnsi="宋体"/>
        </w:rPr>
        <w:t>由风力到蒸汽机</w:t>
      </w:r>
      <w:r>
        <w:rPr>
          <w:rFonts w:eastAsia="Times New Roman"/>
        </w:rPr>
        <w:t>（</w:t>
      </w:r>
      <w:r>
        <w:rPr>
          <w:rFonts w:hAnsi="宋体"/>
        </w:rPr>
        <w:t>2</w:t>
      </w:r>
      <w:r>
        <w:rPr>
          <w:rFonts w:eastAsia="Times New Roman"/>
        </w:rPr>
        <w:t>分）；</w:t>
      </w:r>
    </w:p>
    <w:p w:rsidR="00FF367C" w:rsidRDefault="00C914E2">
      <w:pPr>
        <w:ind w:firstLine="527"/>
      </w:pPr>
      <w:r>
        <w:rPr>
          <w:rFonts w:hAnsi="宋体"/>
          <w:b/>
        </w:rPr>
        <w:t>交通工具</w:t>
      </w:r>
      <w:r>
        <w:rPr>
          <w:rFonts w:eastAsia="Times New Roman"/>
          <w:b/>
        </w:rPr>
        <w:t>：</w:t>
      </w:r>
      <w:r>
        <w:rPr>
          <w:rFonts w:hAnsi="宋体"/>
        </w:rPr>
        <w:t>蒸汽机车（或：火车）</w:t>
      </w:r>
      <w:r>
        <w:rPr>
          <w:rFonts w:eastAsia="Times New Roman"/>
        </w:rPr>
        <w:t>（</w:t>
      </w:r>
      <w:r>
        <w:rPr>
          <w:rFonts w:hAnsi="宋体"/>
        </w:rPr>
        <w:t>1</w:t>
      </w:r>
      <w:r>
        <w:rPr>
          <w:rFonts w:eastAsia="Times New Roman"/>
        </w:rPr>
        <w:t>分）</w:t>
      </w:r>
      <w:r>
        <w:rPr>
          <w:rFonts w:hAnsi="宋体"/>
        </w:rPr>
        <w:t>；</w:t>
      </w:r>
    </w:p>
    <w:p w:rsidR="00FF367C" w:rsidRDefault="00C914E2">
      <w:pPr>
        <w:numPr>
          <w:ilvl w:val="0"/>
          <w:numId w:val="1"/>
        </w:numPr>
      </w:pPr>
      <w:r>
        <w:rPr>
          <w:rFonts w:hAnsi="宋体"/>
          <w:b/>
        </w:rPr>
        <w:t>认识</w:t>
      </w:r>
      <w:r>
        <w:rPr>
          <w:rFonts w:eastAsia="Times New Roman"/>
          <w:b/>
        </w:rPr>
        <w:t>：</w:t>
      </w:r>
      <w:r>
        <w:rPr>
          <w:rFonts w:hAnsi="宋体"/>
        </w:rPr>
        <w:t>改革是推动社会发展的强大动力；思想解放有利于社会进步；科技创新是一个民族发展的不竭动力。（言之成理即可）</w:t>
      </w:r>
      <w:r>
        <w:rPr>
          <w:rFonts w:eastAsia="Times New Roman"/>
        </w:rPr>
        <w:t>（1分）。</w:t>
      </w:r>
    </w:p>
    <w:p w:rsidR="00FF367C" w:rsidRDefault="00FF367C"/>
    <w:p w:rsidR="00FF367C" w:rsidRDefault="00C914E2">
      <w:r>
        <w:rPr>
          <w:rFonts w:eastAsia="Times New Roman"/>
        </w:rPr>
        <w:t>22. （10分）</w:t>
      </w:r>
    </w:p>
    <w:p w:rsidR="00FF367C" w:rsidRDefault="00C914E2">
      <w:r>
        <w:rPr>
          <w:rFonts w:eastAsia="Times New Roman"/>
        </w:rPr>
        <w:t>（1）</w:t>
      </w:r>
      <w:r>
        <w:rPr>
          <w:rFonts w:hAnsi="宋体"/>
          <w:b/>
        </w:rPr>
        <w:t>会议</w:t>
      </w:r>
      <w:r>
        <w:rPr>
          <w:rFonts w:eastAsia="Times New Roman"/>
          <w:b/>
        </w:rPr>
        <w:t>：</w:t>
      </w:r>
      <w:r>
        <w:rPr>
          <w:rFonts w:hAnsi="宋体"/>
        </w:rPr>
        <w:t>巴黎和会</w:t>
      </w:r>
      <w:r>
        <w:rPr>
          <w:rFonts w:eastAsia="Times New Roman"/>
        </w:rPr>
        <w:t>（1分）；</w:t>
      </w:r>
      <w:r>
        <w:rPr>
          <w:rFonts w:hAnsi="宋体"/>
          <w:b/>
        </w:rPr>
        <w:t>条约：</w:t>
      </w:r>
      <w:r>
        <w:rPr>
          <w:rFonts w:hAnsi="宋体"/>
        </w:rPr>
        <w:t>《凡尔赛条约》（</w:t>
      </w:r>
      <w:r>
        <w:rPr>
          <w:rFonts w:eastAsia="Times New Roman"/>
        </w:rPr>
        <w:t>1分</w:t>
      </w:r>
      <w:r>
        <w:rPr>
          <w:rFonts w:hAnsi="宋体"/>
        </w:rPr>
        <w:t>）</w:t>
      </w:r>
      <w:r>
        <w:rPr>
          <w:rFonts w:eastAsia="Times New Roman"/>
        </w:rPr>
        <w:t>；</w:t>
      </w:r>
    </w:p>
    <w:p w:rsidR="00FF367C" w:rsidRDefault="00C914E2">
      <w:r>
        <w:rPr>
          <w:rFonts w:eastAsia="Times New Roman"/>
        </w:rPr>
        <w:t>（2）</w:t>
      </w:r>
      <w:r>
        <w:rPr>
          <w:rFonts w:hAnsi="宋体"/>
          <w:b/>
        </w:rPr>
        <w:t>原因</w:t>
      </w:r>
      <w:r>
        <w:rPr>
          <w:rFonts w:eastAsia="Times New Roman"/>
          <w:b/>
        </w:rPr>
        <w:t>：</w:t>
      </w:r>
      <w:r>
        <w:rPr>
          <w:rFonts w:hAnsi="宋体"/>
        </w:rPr>
        <w:t>英法等国妥协、姑息的绥靖政策</w:t>
      </w:r>
      <w:r>
        <w:rPr>
          <w:rFonts w:eastAsia="Times New Roman"/>
        </w:rPr>
        <w:t>（</w:t>
      </w:r>
      <w:r>
        <w:rPr>
          <w:rFonts w:hAnsi="宋体"/>
        </w:rPr>
        <w:t>1</w:t>
      </w:r>
      <w:r>
        <w:rPr>
          <w:rFonts w:eastAsia="Times New Roman"/>
        </w:rPr>
        <w:t>分）</w:t>
      </w:r>
      <w:r>
        <w:rPr>
          <w:rFonts w:hAnsi="宋体"/>
        </w:rPr>
        <w:t>；德国经过充分准备</w:t>
      </w:r>
      <w:r>
        <w:rPr>
          <w:rFonts w:eastAsia="Times New Roman"/>
        </w:rPr>
        <w:t>（</w:t>
      </w:r>
      <w:r>
        <w:rPr>
          <w:rFonts w:hAnsi="宋体"/>
        </w:rPr>
        <w:t>1</w:t>
      </w:r>
      <w:r>
        <w:rPr>
          <w:rFonts w:eastAsia="Times New Roman"/>
        </w:rPr>
        <w:t>分）；</w:t>
      </w:r>
    </w:p>
    <w:p w:rsidR="00FF367C" w:rsidRDefault="00C914E2">
      <w:r>
        <w:rPr>
          <w:rFonts w:eastAsia="Times New Roman"/>
        </w:rPr>
        <w:t>（3）</w:t>
      </w:r>
      <w:r>
        <w:rPr>
          <w:rFonts w:hAnsi="宋体"/>
          <w:b/>
        </w:rPr>
        <w:t>突出表现</w:t>
      </w:r>
      <w:r>
        <w:rPr>
          <w:rFonts w:eastAsia="Times New Roman"/>
          <w:b/>
        </w:rPr>
        <w:t>：</w:t>
      </w:r>
      <w:r>
        <w:rPr>
          <w:rFonts w:hAnsi="宋体"/>
        </w:rPr>
        <w:t>60</w:t>
      </w:r>
      <w:r>
        <w:rPr>
          <w:rFonts w:hAnsi="宋体"/>
        </w:rPr>
        <w:t>年代：</w:t>
      </w:r>
      <w:r>
        <w:rPr>
          <w:rFonts w:hAnsi="宋体"/>
          <w:b/>
        </w:rPr>
        <w:t xml:space="preserve"> </w:t>
      </w:r>
      <w:r>
        <w:rPr>
          <w:rFonts w:hAnsi="宋体"/>
        </w:rPr>
        <w:t>欧洲共同体</w:t>
      </w:r>
      <w:r>
        <w:rPr>
          <w:rFonts w:eastAsia="Times New Roman"/>
        </w:rPr>
        <w:t>（</w:t>
      </w:r>
      <w:r>
        <w:rPr>
          <w:rFonts w:hAnsi="宋体"/>
        </w:rPr>
        <w:t>1</w:t>
      </w:r>
      <w:r>
        <w:rPr>
          <w:rFonts w:hAnsi="宋体"/>
        </w:rPr>
        <w:t>分）；</w:t>
      </w:r>
      <w:r>
        <w:rPr>
          <w:rFonts w:hAnsi="宋体"/>
        </w:rPr>
        <w:t>90</w:t>
      </w:r>
      <w:r>
        <w:rPr>
          <w:rFonts w:hAnsi="宋体"/>
        </w:rPr>
        <w:t>年代：欧洲联盟（</w:t>
      </w:r>
      <w:r>
        <w:rPr>
          <w:rFonts w:eastAsia="Times New Roman"/>
        </w:rPr>
        <w:t>1分）；</w:t>
      </w:r>
    </w:p>
    <w:p w:rsidR="00FF367C" w:rsidRDefault="00C914E2">
      <w:pPr>
        <w:ind w:firstLine="527"/>
      </w:pPr>
      <w:r>
        <w:rPr>
          <w:rFonts w:hAnsi="宋体"/>
          <w:b/>
        </w:rPr>
        <w:t>作用</w:t>
      </w:r>
      <w:r>
        <w:rPr>
          <w:rFonts w:eastAsia="Times New Roman"/>
          <w:b/>
        </w:rPr>
        <w:t>：</w:t>
      </w:r>
      <w:r>
        <w:rPr>
          <w:rFonts w:hAnsi="宋体"/>
        </w:rPr>
        <w:t>推动欧洲一体</w:t>
      </w:r>
      <w:r>
        <w:rPr>
          <w:rFonts w:hAnsi="宋体"/>
        </w:rPr>
        <w:t>化进程；推动欧洲经济发展、政治地位提高；推进政治格局多极化。</w:t>
      </w:r>
      <w:r>
        <w:rPr>
          <w:rFonts w:eastAsia="Times New Roman"/>
        </w:rPr>
        <w:t>（</w:t>
      </w:r>
      <w:r>
        <w:rPr>
          <w:rFonts w:hAnsi="宋体"/>
        </w:rPr>
        <w:t>任答两点，</w:t>
      </w:r>
      <w:r>
        <w:rPr>
          <w:rFonts w:hAnsi="宋体"/>
        </w:rPr>
        <w:t>2</w:t>
      </w:r>
      <w:r>
        <w:rPr>
          <w:rFonts w:eastAsia="Times New Roman"/>
        </w:rPr>
        <w:t>分）；</w:t>
      </w:r>
    </w:p>
    <w:p w:rsidR="00FF367C" w:rsidRDefault="00C914E2">
      <w:r>
        <w:rPr>
          <w:rFonts w:eastAsia="Times New Roman"/>
        </w:rPr>
        <w:t>（4）</w:t>
      </w:r>
      <w:r>
        <w:rPr>
          <w:rFonts w:hAnsi="宋体"/>
          <w:b/>
        </w:rPr>
        <w:t>感悟</w:t>
      </w:r>
      <w:r>
        <w:rPr>
          <w:rFonts w:eastAsia="Times New Roman"/>
          <w:b/>
        </w:rPr>
        <w:t>：</w:t>
      </w:r>
      <w:r>
        <w:rPr>
          <w:rFonts w:eastAsia="Times New Roman"/>
        </w:rPr>
        <w:t>国家利益决定国家关系；用和平方式解决国际争端；团结合作才能互利共贏；反对任何形式的霸权主义</w:t>
      </w:r>
      <w:r>
        <w:rPr>
          <w:rFonts w:hAnsi="宋体"/>
        </w:rPr>
        <w:t>。</w:t>
      </w:r>
      <w:r>
        <w:rPr>
          <w:rFonts w:eastAsia="Times New Roman"/>
        </w:rPr>
        <w:t>（言之成理即可）（</w:t>
      </w:r>
      <w:r>
        <w:rPr>
          <w:rFonts w:hAnsi="宋体"/>
        </w:rPr>
        <w:t>2</w:t>
      </w:r>
      <w:r>
        <w:rPr>
          <w:rFonts w:eastAsia="Times New Roman"/>
        </w:rPr>
        <w:t>分）。</w:t>
      </w:r>
    </w:p>
    <w:p w:rsidR="00FF367C" w:rsidRDefault="00FF367C"/>
    <w:p w:rsidR="00FF367C" w:rsidRDefault="00C914E2">
      <w:r>
        <w:rPr>
          <w:rFonts w:eastAsia="Times New Roman"/>
        </w:rPr>
        <w:t>23. （10分）</w:t>
      </w:r>
    </w:p>
    <w:p w:rsidR="00FF367C" w:rsidRDefault="00C914E2">
      <w:pPr>
        <w:numPr>
          <w:ilvl w:val="0"/>
          <w:numId w:val="2"/>
        </w:numPr>
      </w:pPr>
      <w:r>
        <w:rPr>
          <w:rFonts w:hAnsi="宋体"/>
          <w:b/>
        </w:rPr>
        <w:t>政策</w:t>
      </w:r>
      <w:r>
        <w:rPr>
          <w:rFonts w:eastAsia="Times New Roman"/>
          <w:b/>
        </w:rPr>
        <w:t>：</w:t>
      </w:r>
      <w:r>
        <w:rPr>
          <w:rFonts w:hAnsi="宋体"/>
        </w:rPr>
        <w:t>新经济政策</w:t>
      </w:r>
      <w:r>
        <w:rPr>
          <w:rFonts w:eastAsia="Times New Roman"/>
        </w:rPr>
        <w:t>（1分）；</w:t>
      </w:r>
      <w:r>
        <w:rPr>
          <w:rFonts w:hAnsi="宋体"/>
          <w:b/>
          <w:color w:val="000000"/>
        </w:rPr>
        <w:t>模式</w:t>
      </w:r>
      <w:r>
        <w:rPr>
          <w:rFonts w:eastAsia="Times New Roman"/>
          <w:b/>
          <w:color w:val="000000"/>
        </w:rPr>
        <w:t>：</w:t>
      </w:r>
      <w:r>
        <w:rPr>
          <w:rFonts w:hAnsi="宋体"/>
          <w:color w:val="000000"/>
        </w:rPr>
        <w:t>苏联模式</w:t>
      </w:r>
      <w:r>
        <w:rPr>
          <w:rFonts w:eastAsia="Times New Roman"/>
        </w:rPr>
        <w:t>（</w:t>
      </w:r>
      <w:r>
        <w:rPr>
          <w:rFonts w:hAnsi="宋体"/>
        </w:rPr>
        <w:t>或：斯大林模式）（</w:t>
      </w:r>
      <w:r>
        <w:rPr>
          <w:rFonts w:eastAsia="Times New Roman"/>
        </w:rPr>
        <w:t>1分）</w:t>
      </w:r>
      <w:r>
        <w:rPr>
          <w:rFonts w:eastAsia="Times New Roman"/>
          <w:color w:val="000000"/>
        </w:rPr>
        <w:t>；</w:t>
      </w:r>
    </w:p>
    <w:p w:rsidR="00FF367C" w:rsidRDefault="00C914E2">
      <w:r>
        <w:rPr>
          <w:rFonts w:eastAsia="Times New Roman"/>
        </w:rPr>
        <w:t>（2）</w:t>
      </w:r>
      <w:r>
        <w:rPr>
          <w:rFonts w:hAnsi="宋体"/>
          <w:b/>
        </w:rPr>
        <w:t>农业</w:t>
      </w:r>
      <w:r>
        <w:rPr>
          <w:rFonts w:eastAsia="Times New Roman"/>
          <w:b/>
        </w:rPr>
        <w:t>：</w:t>
      </w:r>
      <w:r>
        <w:rPr>
          <w:rFonts w:hAnsi="宋体"/>
          <w:color w:val="000000"/>
        </w:rPr>
        <w:t>《农业调整法》（</w:t>
      </w:r>
      <w:r>
        <w:rPr>
          <w:rFonts w:eastAsia="Times New Roman"/>
          <w:color w:val="000000"/>
        </w:rPr>
        <w:t>1分）；</w:t>
      </w:r>
      <w:r>
        <w:rPr>
          <w:rFonts w:hAnsi="宋体"/>
          <w:b/>
          <w:color w:val="000000"/>
        </w:rPr>
        <w:t>工业</w:t>
      </w:r>
      <w:r>
        <w:rPr>
          <w:rFonts w:eastAsia="Times New Roman"/>
          <w:b/>
          <w:color w:val="000000"/>
        </w:rPr>
        <w:t>：</w:t>
      </w:r>
      <w:r>
        <w:rPr>
          <w:rFonts w:hAnsi="宋体"/>
          <w:color w:val="000000"/>
        </w:rPr>
        <w:t>《国家工业复兴法》</w:t>
      </w:r>
      <w:r>
        <w:rPr>
          <w:rFonts w:eastAsia="Times New Roman"/>
        </w:rPr>
        <w:t>（</w:t>
      </w:r>
      <w:r>
        <w:rPr>
          <w:rFonts w:hAnsi="宋体"/>
        </w:rPr>
        <w:t>1</w:t>
      </w:r>
      <w:r>
        <w:rPr>
          <w:rFonts w:eastAsia="Times New Roman"/>
        </w:rPr>
        <w:t>分）；</w:t>
      </w:r>
    </w:p>
    <w:p w:rsidR="00FF367C" w:rsidRDefault="00C914E2">
      <w:pPr>
        <w:ind w:firstLine="527"/>
        <w:rPr>
          <w:color w:val="000000"/>
        </w:rPr>
      </w:pPr>
      <w:r>
        <w:rPr>
          <w:rFonts w:hAnsi="宋体"/>
          <w:b/>
          <w:color w:val="000000"/>
        </w:rPr>
        <w:t>特点</w:t>
      </w:r>
      <w:r>
        <w:rPr>
          <w:rFonts w:eastAsia="Times New Roman"/>
          <w:b/>
          <w:color w:val="000000"/>
        </w:rPr>
        <w:t>：</w:t>
      </w:r>
      <w:r>
        <w:rPr>
          <w:rFonts w:hAnsi="宋体"/>
          <w:color w:val="000000"/>
        </w:rPr>
        <w:t>国家干预</w:t>
      </w:r>
      <w:r>
        <w:rPr>
          <w:rFonts w:eastAsia="Times New Roman"/>
        </w:rPr>
        <w:t>（</w:t>
      </w:r>
      <w:r>
        <w:rPr>
          <w:rFonts w:hAnsi="宋体"/>
        </w:rPr>
        <w:t>1</w:t>
      </w:r>
      <w:r>
        <w:rPr>
          <w:rFonts w:eastAsia="Times New Roman"/>
        </w:rPr>
        <w:t>分）；</w:t>
      </w:r>
    </w:p>
    <w:p w:rsidR="00FF367C" w:rsidRDefault="00C914E2">
      <w:r>
        <w:rPr>
          <w:rFonts w:eastAsia="Times New Roman"/>
        </w:rPr>
        <w:t>（3）</w:t>
      </w:r>
      <w:r>
        <w:rPr>
          <w:rFonts w:hAnsi="宋体"/>
          <w:b/>
        </w:rPr>
        <w:t>共同问题</w:t>
      </w:r>
      <w:r>
        <w:rPr>
          <w:rFonts w:eastAsia="Times New Roman"/>
          <w:b/>
        </w:rPr>
        <w:t>：</w:t>
      </w:r>
      <w:r>
        <w:rPr>
          <w:rFonts w:eastAsia="Times New Roman"/>
        </w:rPr>
        <w:t>全球变暖、世界人口增长、新冠疫情</w:t>
      </w:r>
      <w:r>
        <w:rPr>
          <w:rFonts w:eastAsia="Times New Roman"/>
          <w:color w:val="000000"/>
        </w:rPr>
        <w:t>（</w:t>
      </w:r>
      <w:r>
        <w:rPr>
          <w:rFonts w:hAnsi="宋体"/>
          <w:color w:val="000000"/>
        </w:rPr>
        <w:t>3</w:t>
      </w:r>
      <w:r>
        <w:rPr>
          <w:rFonts w:eastAsia="Times New Roman"/>
          <w:color w:val="000000"/>
        </w:rPr>
        <w:t>分）</w:t>
      </w:r>
      <w:r>
        <w:rPr>
          <w:rFonts w:eastAsia="Times New Roman"/>
        </w:rPr>
        <w:t>；</w:t>
      </w:r>
    </w:p>
    <w:p w:rsidR="00FF367C" w:rsidRDefault="00C914E2">
      <w:r>
        <w:rPr>
          <w:rFonts w:hAnsi="宋体"/>
        </w:rPr>
        <w:t>（</w:t>
      </w:r>
      <w:r>
        <w:rPr>
          <w:rFonts w:hAnsi="宋体"/>
        </w:rPr>
        <w:t>4</w:t>
      </w:r>
      <w:r>
        <w:rPr>
          <w:rFonts w:hAnsi="宋体"/>
        </w:rPr>
        <w:t>）</w:t>
      </w:r>
      <w:r>
        <w:rPr>
          <w:rFonts w:hAnsi="宋体"/>
          <w:b/>
        </w:rPr>
        <w:t>解决：</w:t>
      </w:r>
      <w:r>
        <w:rPr>
          <w:rFonts w:eastAsia="Times New Roman"/>
        </w:rPr>
        <w:t>各国</w:t>
      </w:r>
      <w:r>
        <w:rPr>
          <w:rFonts w:hAnsi="宋体"/>
        </w:rPr>
        <w:t>团结协作，共同应对；</w:t>
      </w:r>
      <w:r>
        <w:rPr>
          <w:rFonts w:eastAsia="Times New Roman"/>
        </w:rPr>
        <w:t>维护世界平与安全</w:t>
      </w:r>
      <w:r>
        <w:rPr>
          <w:rFonts w:hAnsi="宋体"/>
        </w:rPr>
        <w:t>；</w:t>
      </w:r>
      <w:r>
        <w:rPr>
          <w:rFonts w:eastAsia="Times New Roman"/>
        </w:rPr>
        <w:t>构建人类运共同体等</w:t>
      </w:r>
      <w:r>
        <w:rPr>
          <w:rFonts w:eastAsia="Times New Roman"/>
          <w:b/>
        </w:rPr>
        <w:t>。</w:t>
      </w:r>
      <w:r>
        <w:rPr>
          <w:rFonts w:eastAsia="Times New Roman"/>
        </w:rPr>
        <w:t>（言之成理即可）（</w:t>
      </w:r>
      <w:r>
        <w:rPr>
          <w:rFonts w:hAnsi="宋体"/>
        </w:rPr>
        <w:t>2</w:t>
      </w:r>
      <w:r>
        <w:rPr>
          <w:rFonts w:eastAsia="Times New Roman"/>
        </w:rPr>
        <w:t>分）。</w:t>
      </w:r>
    </w:p>
    <w:p w:rsidR="00FF367C" w:rsidRDefault="00FF367C">
      <w:pPr>
        <w:wordWrap w:val="0"/>
        <w:rPr>
          <w:rFonts w:ascii="Calibri" w:hAnsi="宋体"/>
        </w:rPr>
        <w:sectPr w:rsidR="00FF367C">
          <w:footerReference w:type="default" r:id="rId14"/>
          <w:pgSz w:w="10433" w:h="14742"/>
          <w:pgMar w:top="1134" w:right="1134" w:bottom="1134" w:left="1134" w:header="851" w:footer="850" w:gutter="0"/>
          <w:cols w:space="720"/>
          <w:docGrid w:type="lines" w:linePitch="312" w:charSpace="6144"/>
        </w:sectPr>
      </w:pPr>
    </w:p>
    <w:p w:rsidR="00FF367C" w:rsidRDefault="00FF367C"/>
    <w:sectPr w:rsidR="00FF367C">
      <w:pgSz w:w="10433" w:h="14742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000" w:rsidRDefault="00C914E2">
      <w:r>
        <w:separator/>
      </w:r>
    </w:p>
  </w:endnote>
  <w:endnote w:type="continuationSeparator" w:id="0">
    <w:p w:rsidR="00000000" w:rsidRDefault="00C914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方正大标宋简体">
    <w:altName w:val="微软雅黑"/>
    <w:charset w:val="86"/>
    <w:family w:val="auto"/>
    <w:pitch w:val="default"/>
    <w:sig w:usb0="00000000" w:usb1="00000000" w:usb2="00000000" w:usb3="00000000" w:csb0="00040000" w:csb1="00000000"/>
  </w:font>
  <w:font w:name="方正魏碑简体">
    <w:altName w:val="黑体"/>
    <w:charset w:val="86"/>
    <w:family w:val="script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altName w:val="楷体"/>
    <w:charset w:val="86"/>
    <w:family w:val="modern"/>
    <w:pitch w:val="default"/>
    <w:sig w:usb0="00000001" w:usb1="080E0000" w:usb2="00000010" w:usb3="00000000" w:csb0="00040000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F367C" w:rsidRDefault="00C914E2">
    <w:pPr>
      <w:pStyle w:val="a3"/>
      <w:jc w:val="center"/>
      <w:rPr>
        <w:rFonts w:ascii="楷体_GB2312" w:eastAsia="Times New Roman" w:hAnsi="Times New Roman"/>
      </w:rPr>
    </w:pPr>
    <w:r>
      <w:rPr>
        <w:rFonts w:ascii="楷体_GB2312" w:eastAsia="楷体_GB2312" w:hAnsi="楷体_GB2312"/>
      </w:rPr>
      <w:t>九年级历史期末试题答案（第</w:t>
    </w:r>
    <w:r>
      <w:rPr>
        <w:rFonts w:ascii="楷体_GB2312" w:eastAsia="楷体_GB2312" w:hAnsi="楷体_GB2312"/>
      </w:rPr>
      <w:fldChar w:fldCharType="begin"/>
    </w:r>
    <w:r>
      <w:instrText>PAGE  \* MERGEFORMAT</w:instrText>
    </w:r>
    <w:r>
      <w:fldChar w:fldCharType="separate"/>
    </w:r>
    <w:r w:rsidRPr="00C914E2">
      <w:rPr>
        <w:rFonts w:ascii="楷体_GB2312" w:eastAsia="Times New Roman" w:hAnsi="Times New Roman"/>
        <w:noProof/>
      </w:rPr>
      <w:t>2</w:t>
    </w:r>
    <w:r>
      <w:rPr>
        <w:rFonts w:ascii="楷体_GB2312" w:eastAsia="楷体_GB2312" w:hAnsi="楷体_GB2312"/>
      </w:rPr>
      <w:fldChar w:fldCharType="end"/>
    </w:r>
    <w:r>
      <w:rPr>
        <w:rFonts w:ascii="楷体_GB2312" w:eastAsia="楷体_GB2312" w:hAnsi="楷体_GB2312"/>
      </w:rPr>
      <w:t>页</w:t>
    </w:r>
    <w:r>
      <w:rPr>
        <w:rFonts w:ascii="楷体_GB2312" w:eastAsia="楷体_GB2312" w:hAnsi="楷体_GB2312"/>
      </w:rPr>
      <w:t xml:space="preserve"> </w:t>
    </w:r>
    <w:r>
      <w:rPr>
        <w:rFonts w:ascii="楷体_GB2312" w:eastAsia="楷体_GB2312" w:hAnsi="楷体_GB2312"/>
      </w:rPr>
      <w:t>共</w:t>
    </w:r>
    <w:r>
      <w:rPr>
        <w:rFonts w:ascii="Calibri"/>
      </w:rPr>
      <w:fldChar w:fldCharType="begin"/>
    </w:r>
    <w:r>
      <w:rPr>
        <w:rFonts w:ascii="Calibri" w:hint="eastAsia"/>
      </w:rPr>
      <w:instrText>NUMPAGES \* Arabic \* MERGEFORMAT</w:instrText>
    </w:r>
    <w:r>
      <w:fldChar w:fldCharType="separate"/>
    </w:r>
    <w:r w:rsidRPr="00C914E2">
      <w:rPr>
        <w:rFonts w:ascii="楷体_GB2312" w:eastAsia="Times New Roman" w:hAnsi="Times New Roman"/>
        <w:noProof/>
      </w:rPr>
      <w:t>2</w:t>
    </w:r>
    <w:r>
      <w:rPr>
        <w:rFonts w:ascii="楷体_GB2312" w:eastAsia="Times New Roman" w:hAnsi="Times New Roman"/>
      </w:rPr>
      <w:fldChar w:fldCharType="end"/>
    </w:r>
    <w:r>
      <w:rPr>
        <w:rFonts w:ascii="楷体_GB2312" w:eastAsia="楷体_GB2312" w:hAnsi="楷体_GB2312"/>
      </w:rPr>
      <w:t>页）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000" w:rsidRDefault="00C914E2">
      <w:r>
        <w:separator/>
      </w:r>
    </w:p>
  </w:footnote>
  <w:footnote w:type="continuationSeparator" w:id="0">
    <w:p w:rsidR="00000000" w:rsidRDefault="00C914E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multilevel"/>
    <w:tmpl w:val="00000001"/>
    <w:lvl w:ilvl="0">
      <w:start w:val="1"/>
      <w:numFmt w:val="decimal"/>
      <w:suff w:val="nothing"/>
      <w:lvlText w:val="（%1）"/>
      <w:lvlJc w:val="left"/>
      <w:rPr>
        <w:rFonts w:ascii="Times New Roman" w:eastAsia="Times New Roman" w:hAnsi="Times New Roman"/>
        <w:w w:val="100"/>
        <w:sz w:val="21"/>
        <w:szCs w:val="21"/>
        <w:u w:val="none"/>
      </w:rPr>
    </w:lvl>
    <w:lvl w:ilvl="1">
      <w:start w:val="1"/>
      <w:numFmt w:val="decimal"/>
      <w:suff w:val="nothing"/>
      <w:lvlText w:val="（%1）"/>
      <w:lvlJc w:val="left"/>
      <w:rPr>
        <w:rFonts w:ascii="Times New Roman" w:eastAsia="Times New Roman" w:hAnsi="Times New Roman"/>
        <w:w w:val="100"/>
        <w:sz w:val="21"/>
        <w:szCs w:val="21"/>
        <w:u w:val="none"/>
      </w:rPr>
    </w:lvl>
    <w:lvl w:ilvl="2">
      <w:start w:val="1"/>
      <w:numFmt w:val="decimal"/>
      <w:suff w:val="nothing"/>
      <w:lvlText w:val="（%1）"/>
      <w:lvlJc w:val="left"/>
      <w:rPr>
        <w:rFonts w:ascii="Times New Roman" w:eastAsia="Times New Roman" w:hAnsi="Times New Roman"/>
        <w:w w:val="100"/>
        <w:sz w:val="21"/>
        <w:szCs w:val="21"/>
        <w:u w:val="none"/>
      </w:rPr>
    </w:lvl>
    <w:lvl w:ilvl="3">
      <w:start w:val="1"/>
      <w:numFmt w:val="decimal"/>
      <w:suff w:val="nothing"/>
      <w:lvlText w:val="（%1）"/>
      <w:lvlJc w:val="left"/>
      <w:rPr>
        <w:rFonts w:ascii="Times New Roman" w:eastAsia="Times New Roman" w:hAnsi="Times New Roman"/>
        <w:w w:val="100"/>
        <w:sz w:val="21"/>
        <w:szCs w:val="21"/>
        <w:u w:val="none"/>
      </w:rPr>
    </w:lvl>
    <w:lvl w:ilvl="4">
      <w:start w:val="1"/>
      <w:numFmt w:val="decimal"/>
      <w:suff w:val="nothing"/>
      <w:lvlText w:val="（%1）"/>
      <w:lvlJc w:val="left"/>
      <w:rPr>
        <w:rFonts w:ascii="Times New Roman" w:eastAsia="Times New Roman" w:hAnsi="Times New Roman"/>
        <w:w w:val="100"/>
        <w:sz w:val="21"/>
        <w:szCs w:val="21"/>
        <w:u w:val="none"/>
      </w:rPr>
    </w:lvl>
    <w:lvl w:ilvl="5">
      <w:start w:val="1"/>
      <w:numFmt w:val="decimal"/>
      <w:suff w:val="nothing"/>
      <w:lvlText w:val="（%1）"/>
      <w:lvlJc w:val="left"/>
      <w:rPr>
        <w:rFonts w:ascii="Times New Roman" w:eastAsia="Times New Roman" w:hAnsi="Times New Roman"/>
        <w:w w:val="100"/>
        <w:sz w:val="21"/>
        <w:szCs w:val="21"/>
        <w:u w:val="none"/>
      </w:rPr>
    </w:lvl>
    <w:lvl w:ilvl="6">
      <w:start w:val="1"/>
      <w:numFmt w:val="decimal"/>
      <w:suff w:val="nothing"/>
      <w:lvlText w:val="（%1）"/>
      <w:lvlJc w:val="left"/>
      <w:rPr>
        <w:rFonts w:ascii="Times New Roman" w:eastAsia="Times New Roman" w:hAnsi="Times New Roman"/>
        <w:w w:val="100"/>
        <w:sz w:val="21"/>
        <w:szCs w:val="21"/>
        <w:u w:val="none"/>
      </w:rPr>
    </w:lvl>
    <w:lvl w:ilvl="7">
      <w:start w:val="1"/>
      <w:numFmt w:val="decimal"/>
      <w:suff w:val="nothing"/>
      <w:lvlText w:val="（%1）"/>
      <w:lvlJc w:val="left"/>
      <w:rPr>
        <w:rFonts w:ascii="Times New Roman" w:eastAsia="Times New Roman" w:hAnsi="Times New Roman"/>
        <w:w w:val="100"/>
        <w:sz w:val="21"/>
        <w:szCs w:val="21"/>
        <w:u w:val="none"/>
      </w:rPr>
    </w:lvl>
    <w:lvl w:ilvl="8">
      <w:start w:val="1"/>
      <w:numFmt w:val="decimal"/>
      <w:suff w:val="nothing"/>
      <w:lvlText w:val="（%1）"/>
      <w:lvlJc w:val="left"/>
      <w:rPr>
        <w:rFonts w:ascii="Times New Roman" w:eastAsia="Times New Roman" w:hAnsi="Times New Roman"/>
        <w:w w:val="100"/>
        <w:sz w:val="21"/>
        <w:szCs w:val="21"/>
        <w:u w:val="none"/>
      </w:rPr>
    </w:lvl>
  </w:abstractNum>
  <w:abstractNum w:abstractNumId="1">
    <w:nsid w:val="2AA6B3F1"/>
    <w:multiLevelType w:val="multilevel"/>
    <w:tmpl w:val="2AA6B3F1"/>
    <w:lvl w:ilvl="0">
      <w:start w:val="4"/>
      <w:numFmt w:val="decimal"/>
      <w:suff w:val="nothing"/>
      <w:lvlText w:val="（%1）"/>
      <w:lvlJc w:val="left"/>
      <w:rPr>
        <w:rFonts w:ascii="Times New Roman" w:eastAsia="Times New Roman" w:hAnsi="Times New Roman"/>
        <w:w w:val="100"/>
        <w:sz w:val="21"/>
        <w:szCs w:val="21"/>
        <w:u w:val="none"/>
      </w:rPr>
    </w:lvl>
    <w:lvl w:ilvl="1">
      <w:start w:val="4"/>
      <w:numFmt w:val="decimal"/>
      <w:suff w:val="nothing"/>
      <w:lvlText w:val="（%1）"/>
      <w:lvlJc w:val="left"/>
      <w:rPr>
        <w:rFonts w:ascii="Times New Roman" w:eastAsia="Times New Roman" w:hAnsi="Times New Roman"/>
        <w:w w:val="100"/>
        <w:sz w:val="21"/>
        <w:szCs w:val="21"/>
        <w:u w:val="none"/>
      </w:rPr>
    </w:lvl>
    <w:lvl w:ilvl="2">
      <w:start w:val="4"/>
      <w:numFmt w:val="decimal"/>
      <w:suff w:val="nothing"/>
      <w:lvlText w:val="（%1）"/>
      <w:lvlJc w:val="left"/>
      <w:rPr>
        <w:rFonts w:ascii="Times New Roman" w:eastAsia="Times New Roman" w:hAnsi="Times New Roman"/>
        <w:w w:val="100"/>
        <w:sz w:val="21"/>
        <w:szCs w:val="21"/>
        <w:u w:val="none"/>
      </w:rPr>
    </w:lvl>
    <w:lvl w:ilvl="3">
      <w:start w:val="4"/>
      <w:numFmt w:val="decimal"/>
      <w:suff w:val="nothing"/>
      <w:lvlText w:val="（%1）"/>
      <w:lvlJc w:val="left"/>
      <w:rPr>
        <w:rFonts w:ascii="Times New Roman" w:eastAsia="Times New Roman" w:hAnsi="Times New Roman"/>
        <w:w w:val="100"/>
        <w:sz w:val="21"/>
        <w:szCs w:val="21"/>
        <w:u w:val="none"/>
      </w:rPr>
    </w:lvl>
    <w:lvl w:ilvl="4">
      <w:start w:val="4"/>
      <w:numFmt w:val="decimal"/>
      <w:suff w:val="nothing"/>
      <w:lvlText w:val="（%1）"/>
      <w:lvlJc w:val="left"/>
      <w:rPr>
        <w:rFonts w:ascii="Times New Roman" w:eastAsia="Times New Roman" w:hAnsi="Times New Roman"/>
        <w:w w:val="100"/>
        <w:sz w:val="21"/>
        <w:szCs w:val="21"/>
        <w:u w:val="none"/>
      </w:rPr>
    </w:lvl>
    <w:lvl w:ilvl="5">
      <w:start w:val="4"/>
      <w:numFmt w:val="decimal"/>
      <w:suff w:val="nothing"/>
      <w:lvlText w:val="（%1）"/>
      <w:lvlJc w:val="left"/>
      <w:rPr>
        <w:rFonts w:ascii="Times New Roman" w:eastAsia="Times New Roman" w:hAnsi="Times New Roman"/>
        <w:w w:val="100"/>
        <w:sz w:val="21"/>
        <w:szCs w:val="21"/>
        <w:u w:val="none"/>
      </w:rPr>
    </w:lvl>
    <w:lvl w:ilvl="6">
      <w:start w:val="4"/>
      <w:numFmt w:val="decimal"/>
      <w:suff w:val="nothing"/>
      <w:lvlText w:val="（%1）"/>
      <w:lvlJc w:val="left"/>
      <w:rPr>
        <w:rFonts w:ascii="Times New Roman" w:eastAsia="Times New Roman" w:hAnsi="Times New Roman"/>
        <w:w w:val="100"/>
        <w:sz w:val="21"/>
        <w:szCs w:val="21"/>
        <w:u w:val="none"/>
      </w:rPr>
    </w:lvl>
    <w:lvl w:ilvl="7">
      <w:start w:val="4"/>
      <w:numFmt w:val="decimal"/>
      <w:suff w:val="nothing"/>
      <w:lvlText w:val="（%1）"/>
      <w:lvlJc w:val="left"/>
      <w:rPr>
        <w:rFonts w:ascii="Times New Roman" w:eastAsia="Times New Roman" w:hAnsi="Times New Roman"/>
        <w:w w:val="100"/>
        <w:sz w:val="21"/>
        <w:szCs w:val="21"/>
        <w:u w:val="none"/>
      </w:rPr>
    </w:lvl>
    <w:lvl w:ilvl="8">
      <w:start w:val="4"/>
      <w:numFmt w:val="decimal"/>
      <w:suff w:val="nothing"/>
      <w:lvlText w:val="（%1）"/>
      <w:lvlJc w:val="left"/>
      <w:rPr>
        <w:rFonts w:ascii="Times New Roman" w:eastAsia="Times New Roman" w:hAnsi="Times New Roman"/>
        <w:w w:val="100"/>
        <w:sz w:val="21"/>
        <w:szCs w:val="21"/>
        <w:u w:val="no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balanceSingleByteDoubleByteWidth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22E7"/>
    <w:rsid w:val="0096794A"/>
    <w:rsid w:val="00A022E7"/>
    <w:rsid w:val="00C914E2"/>
    <w:rsid w:val="00FF367C"/>
    <w:rsid w:val="67293A01"/>
  </w:rsids>
  <m:mathPr>
    <m:mathFont m:val="Cambria Math"/>
    <m:brkBin m:val="before"/>
    <m:brkBinSub m:val="--"/>
    <m:smallFrac/>
    <m:dispDef/>
    <m:lMargin m:val="1440"/>
    <m:rMargin m:val="144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0CADACFD-3203-4C55-AC5A-B8FE2EEA2F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1" w:qFormat="1"/>
    <w:lsdException w:name="heading 1" w:uiPriority="7" w:qFormat="1"/>
    <w:lsdException w:name="heading 2" w:uiPriority="8" w:qFormat="1"/>
    <w:lsdException w:name="heading 3" w:uiPriority="9" w:qFormat="1"/>
    <w:lsdException w:name="heading 4" w:uiPriority="10" w:qFormat="1"/>
    <w:lsdException w:name="heading 5" w:uiPriority="11" w:qFormat="1"/>
    <w:lsdException w:name="heading 6" w:uiPriority="12" w:qFormat="1"/>
    <w:lsdException w:name="heading 7" w:uiPriority="13" w:qFormat="1"/>
    <w:lsdException w:name="heading 8" w:uiPriority="14" w:qFormat="1"/>
    <w:lsdException w:name="heading 9" w:uiPriority="15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28" w:unhideWhenUsed="1" w:qFormat="1"/>
    <w:lsdException w:name="toc 2" w:uiPriority="29" w:unhideWhenUsed="1" w:qFormat="1"/>
    <w:lsdException w:name="toc 3" w:uiPriority="30" w:unhideWhenUsed="1" w:qFormat="1"/>
    <w:lsdException w:name="toc 4" w:uiPriority="31" w:unhideWhenUsed="1" w:qFormat="1"/>
    <w:lsdException w:name="toc 5" w:uiPriority="32" w:unhideWhenUsed="1" w:qFormat="1"/>
    <w:lsdException w:name="toc 6" w:uiPriority="33" w:unhideWhenUsed="1" w:qFormat="1"/>
    <w:lsdException w:name="toc 7" w:uiPriority="34" w:unhideWhenUsed="1" w:qFormat="1"/>
    <w:lsdException w:name="toc 8" w:uiPriority="35" w:unhideWhenUsed="1" w:qFormat="1"/>
    <w:lsdException w:name="toc 9" w:uiPriority="36" w:unhideWhenUsed="1" w:qFormat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uiPriority="0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6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6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0" w:qFormat="1"/>
    <w:lsdException w:name="Emphasis" w:uiPriority="18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5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26" w:qFormat="1"/>
    <w:lsdException w:name="Quote" w:uiPriority="21" w:qFormat="1"/>
    <w:lsdException w:name="Intense Quote" w:uiPriority="22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pPr>
      <w:jc w:val="both"/>
    </w:pPr>
    <w:rPr>
      <w:sz w:val="21"/>
      <w:szCs w:val="21"/>
    </w:rPr>
  </w:style>
  <w:style w:type="paragraph" w:styleId="1">
    <w:name w:val="heading 1"/>
    <w:next w:val="a"/>
    <w:uiPriority w:val="7"/>
    <w:qFormat/>
    <w:pPr>
      <w:jc w:val="both"/>
      <w:outlineLvl w:val="0"/>
    </w:pPr>
    <w:rPr>
      <w:sz w:val="28"/>
      <w:szCs w:val="28"/>
    </w:rPr>
  </w:style>
  <w:style w:type="paragraph" w:styleId="2">
    <w:name w:val="heading 2"/>
    <w:next w:val="a"/>
    <w:uiPriority w:val="8"/>
    <w:qFormat/>
    <w:pPr>
      <w:jc w:val="both"/>
      <w:outlineLvl w:val="1"/>
    </w:pPr>
    <w:rPr>
      <w:sz w:val="21"/>
      <w:szCs w:val="21"/>
    </w:rPr>
  </w:style>
  <w:style w:type="paragraph" w:styleId="3">
    <w:name w:val="heading 3"/>
    <w:next w:val="a"/>
    <w:uiPriority w:val="9"/>
    <w:qFormat/>
    <w:pPr>
      <w:ind w:left="1000" w:hanging="400"/>
      <w:jc w:val="both"/>
      <w:outlineLvl w:val="2"/>
    </w:pPr>
    <w:rPr>
      <w:sz w:val="21"/>
      <w:szCs w:val="21"/>
    </w:rPr>
  </w:style>
  <w:style w:type="paragraph" w:styleId="4">
    <w:name w:val="heading 4"/>
    <w:next w:val="a"/>
    <w:uiPriority w:val="10"/>
    <w:qFormat/>
    <w:pPr>
      <w:ind w:left="1200" w:hanging="400"/>
      <w:jc w:val="both"/>
      <w:outlineLvl w:val="3"/>
    </w:pPr>
    <w:rPr>
      <w:b/>
      <w:sz w:val="21"/>
      <w:szCs w:val="21"/>
    </w:rPr>
  </w:style>
  <w:style w:type="paragraph" w:styleId="5">
    <w:name w:val="heading 5"/>
    <w:next w:val="a"/>
    <w:uiPriority w:val="11"/>
    <w:qFormat/>
    <w:pPr>
      <w:ind w:left="1400" w:hanging="400"/>
      <w:jc w:val="both"/>
      <w:outlineLvl w:val="4"/>
    </w:pPr>
    <w:rPr>
      <w:sz w:val="21"/>
      <w:szCs w:val="21"/>
    </w:rPr>
  </w:style>
  <w:style w:type="paragraph" w:styleId="6">
    <w:name w:val="heading 6"/>
    <w:next w:val="a"/>
    <w:uiPriority w:val="12"/>
    <w:qFormat/>
    <w:pPr>
      <w:ind w:left="1600" w:hanging="400"/>
      <w:jc w:val="both"/>
      <w:outlineLvl w:val="5"/>
    </w:pPr>
    <w:rPr>
      <w:b/>
      <w:sz w:val="21"/>
      <w:szCs w:val="21"/>
    </w:rPr>
  </w:style>
  <w:style w:type="paragraph" w:styleId="7">
    <w:name w:val="heading 7"/>
    <w:next w:val="a"/>
    <w:uiPriority w:val="13"/>
    <w:qFormat/>
    <w:pPr>
      <w:ind w:left="1800" w:hanging="400"/>
      <w:jc w:val="both"/>
      <w:outlineLvl w:val="6"/>
    </w:pPr>
    <w:rPr>
      <w:sz w:val="21"/>
      <w:szCs w:val="21"/>
    </w:rPr>
  </w:style>
  <w:style w:type="paragraph" w:styleId="8">
    <w:name w:val="heading 8"/>
    <w:next w:val="a"/>
    <w:uiPriority w:val="14"/>
    <w:qFormat/>
    <w:pPr>
      <w:ind w:left="2000" w:hanging="400"/>
      <w:jc w:val="both"/>
      <w:outlineLvl w:val="7"/>
    </w:pPr>
    <w:rPr>
      <w:sz w:val="21"/>
      <w:szCs w:val="21"/>
    </w:rPr>
  </w:style>
  <w:style w:type="paragraph" w:styleId="9">
    <w:name w:val="heading 9"/>
    <w:next w:val="a"/>
    <w:uiPriority w:val="15"/>
    <w:qFormat/>
    <w:pPr>
      <w:ind w:left="2200" w:hanging="400"/>
      <w:jc w:val="both"/>
      <w:outlineLvl w:val="8"/>
    </w:pPr>
    <w:rPr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70">
    <w:name w:val="toc 7"/>
    <w:next w:val="a"/>
    <w:uiPriority w:val="34"/>
    <w:unhideWhenUsed/>
    <w:qFormat/>
    <w:pPr>
      <w:ind w:left="2550"/>
      <w:jc w:val="both"/>
    </w:pPr>
    <w:rPr>
      <w:sz w:val="21"/>
      <w:szCs w:val="21"/>
    </w:rPr>
  </w:style>
  <w:style w:type="paragraph" w:styleId="50">
    <w:name w:val="toc 5"/>
    <w:next w:val="a"/>
    <w:uiPriority w:val="32"/>
    <w:unhideWhenUsed/>
    <w:qFormat/>
    <w:pPr>
      <w:ind w:left="1700"/>
      <w:jc w:val="both"/>
    </w:pPr>
    <w:rPr>
      <w:sz w:val="21"/>
      <w:szCs w:val="21"/>
    </w:rPr>
  </w:style>
  <w:style w:type="paragraph" w:styleId="30">
    <w:name w:val="toc 3"/>
    <w:next w:val="a"/>
    <w:uiPriority w:val="30"/>
    <w:unhideWhenUsed/>
    <w:qFormat/>
    <w:pPr>
      <w:ind w:left="850"/>
      <w:jc w:val="both"/>
    </w:pPr>
    <w:rPr>
      <w:sz w:val="21"/>
      <w:szCs w:val="21"/>
    </w:rPr>
  </w:style>
  <w:style w:type="paragraph" w:styleId="80">
    <w:name w:val="toc 8"/>
    <w:next w:val="a"/>
    <w:uiPriority w:val="35"/>
    <w:unhideWhenUsed/>
    <w:qFormat/>
    <w:pPr>
      <w:ind w:left="2975"/>
      <w:jc w:val="both"/>
    </w:pPr>
    <w:rPr>
      <w:sz w:val="21"/>
      <w:szCs w:val="21"/>
    </w:rPr>
  </w:style>
  <w:style w:type="paragraph" w:styleId="a3">
    <w:name w:val="footer"/>
    <w:basedOn w:val="a"/>
    <w:unhideWhenUsed/>
    <w:qFormat/>
    <w:pPr>
      <w:tabs>
        <w:tab w:val="center" w:pos="4153"/>
        <w:tab w:val="right" w:pos="8306"/>
      </w:tabs>
    </w:pPr>
    <w:rPr>
      <w:rFonts w:ascii="宋体" w:hAnsi="宋体"/>
      <w:sz w:val="18"/>
      <w:szCs w:val="18"/>
    </w:rPr>
  </w:style>
  <w:style w:type="paragraph" w:styleId="10">
    <w:name w:val="toc 1"/>
    <w:next w:val="a"/>
    <w:uiPriority w:val="28"/>
    <w:unhideWhenUsed/>
    <w:qFormat/>
    <w:pPr>
      <w:jc w:val="both"/>
    </w:pPr>
    <w:rPr>
      <w:sz w:val="21"/>
      <w:szCs w:val="21"/>
    </w:rPr>
  </w:style>
  <w:style w:type="paragraph" w:styleId="40">
    <w:name w:val="toc 4"/>
    <w:next w:val="a"/>
    <w:uiPriority w:val="31"/>
    <w:unhideWhenUsed/>
    <w:qFormat/>
    <w:pPr>
      <w:ind w:left="1275"/>
      <w:jc w:val="both"/>
    </w:pPr>
    <w:rPr>
      <w:sz w:val="21"/>
      <w:szCs w:val="21"/>
    </w:rPr>
  </w:style>
  <w:style w:type="paragraph" w:styleId="a4">
    <w:name w:val="Subtitle"/>
    <w:uiPriority w:val="16"/>
    <w:qFormat/>
    <w:pPr>
      <w:jc w:val="center"/>
    </w:pPr>
    <w:rPr>
      <w:sz w:val="24"/>
      <w:szCs w:val="24"/>
    </w:rPr>
  </w:style>
  <w:style w:type="paragraph" w:styleId="60">
    <w:name w:val="toc 6"/>
    <w:next w:val="a"/>
    <w:uiPriority w:val="33"/>
    <w:unhideWhenUsed/>
    <w:qFormat/>
    <w:pPr>
      <w:ind w:left="2125"/>
      <w:jc w:val="both"/>
    </w:pPr>
    <w:rPr>
      <w:sz w:val="21"/>
      <w:szCs w:val="21"/>
    </w:rPr>
  </w:style>
  <w:style w:type="paragraph" w:styleId="20">
    <w:name w:val="toc 2"/>
    <w:next w:val="a"/>
    <w:uiPriority w:val="29"/>
    <w:unhideWhenUsed/>
    <w:qFormat/>
    <w:pPr>
      <w:ind w:left="425"/>
      <w:jc w:val="both"/>
    </w:pPr>
    <w:rPr>
      <w:sz w:val="21"/>
      <w:szCs w:val="21"/>
    </w:rPr>
  </w:style>
  <w:style w:type="paragraph" w:styleId="90">
    <w:name w:val="toc 9"/>
    <w:next w:val="a"/>
    <w:uiPriority w:val="36"/>
    <w:unhideWhenUsed/>
    <w:qFormat/>
    <w:pPr>
      <w:ind w:left="3400"/>
      <w:jc w:val="both"/>
    </w:pPr>
    <w:rPr>
      <w:sz w:val="21"/>
      <w:szCs w:val="21"/>
    </w:rPr>
  </w:style>
  <w:style w:type="paragraph" w:styleId="a5">
    <w:name w:val="Title"/>
    <w:uiPriority w:val="6"/>
    <w:qFormat/>
    <w:pPr>
      <w:jc w:val="center"/>
    </w:pPr>
    <w:rPr>
      <w:b/>
      <w:sz w:val="32"/>
      <w:szCs w:val="32"/>
    </w:rPr>
  </w:style>
  <w:style w:type="character" w:styleId="a6">
    <w:name w:val="Strong"/>
    <w:uiPriority w:val="20"/>
    <w:qFormat/>
    <w:rPr>
      <w:b/>
      <w:w w:val="100"/>
      <w:sz w:val="21"/>
      <w:szCs w:val="21"/>
      <w:shd w:val="clear" w:color="auto" w:fill="auto"/>
    </w:rPr>
  </w:style>
  <w:style w:type="character" w:styleId="a7">
    <w:name w:val="Emphasis"/>
    <w:uiPriority w:val="18"/>
    <w:qFormat/>
    <w:rPr>
      <w:i/>
      <w:w w:val="100"/>
      <w:sz w:val="21"/>
      <w:szCs w:val="21"/>
      <w:shd w:val="clear" w:color="auto" w:fill="auto"/>
    </w:rPr>
  </w:style>
  <w:style w:type="paragraph" w:styleId="a8">
    <w:name w:val="No Spacing"/>
    <w:uiPriority w:val="5"/>
    <w:qFormat/>
    <w:pPr>
      <w:jc w:val="both"/>
    </w:pPr>
    <w:rPr>
      <w:sz w:val="21"/>
      <w:szCs w:val="21"/>
    </w:rPr>
  </w:style>
  <w:style w:type="character" w:customStyle="1" w:styleId="11">
    <w:name w:val="不明显强调1"/>
    <w:uiPriority w:val="17"/>
    <w:qFormat/>
    <w:rPr>
      <w:i/>
      <w:color w:val="404040"/>
      <w:w w:val="100"/>
      <w:sz w:val="21"/>
      <w:szCs w:val="21"/>
      <w:shd w:val="clear" w:color="auto" w:fill="auto"/>
    </w:rPr>
  </w:style>
  <w:style w:type="character" w:customStyle="1" w:styleId="12">
    <w:name w:val="明显强调1"/>
    <w:uiPriority w:val="19"/>
    <w:qFormat/>
    <w:rPr>
      <w:i/>
      <w:color w:val="5B9BD5"/>
      <w:w w:val="100"/>
      <w:sz w:val="21"/>
      <w:szCs w:val="21"/>
      <w:shd w:val="clear" w:color="auto" w:fill="auto"/>
    </w:rPr>
  </w:style>
  <w:style w:type="paragraph" w:styleId="a9">
    <w:name w:val="Quote"/>
    <w:uiPriority w:val="21"/>
    <w:qFormat/>
    <w:pPr>
      <w:ind w:left="864" w:right="864"/>
      <w:jc w:val="center"/>
    </w:pPr>
    <w:rPr>
      <w:i/>
      <w:color w:val="404040"/>
      <w:sz w:val="21"/>
      <w:szCs w:val="21"/>
    </w:rPr>
  </w:style>
  <w:style w:type="paragraph" w:styleId="aa">
    <w:name w:val="Intense Quote"/>
    <w:uiPriority w:val="22"/>
    <w:qFormat/>
    <w:pPr>
      <w:ind w:left="950" w:right="950"/>
      <w:jc w:val="center"/>
    </w:pPr>
    <w:rPr>
      <w:i/>
      <w:color w:val="5B9BD5"/>
      <w:sz w:val="21"/>
      <w:szCs w:val="21"/>
    </w:rPr>
  </w:style>
  <w:style w:type="character" w:customStyle="1" w:styleId="13">
    <w:name w:val="不明显参考1"/>
    <w:uiPriority w:val="23"/>
    <w:qFormat/>
    <w:rPr>
      <w:smallCaps/>
      <w:color w:val="5A5A5A"/>
      <w:w w:val="100"/>
      <w:sz w:val="21"/>
      <w:szCs w:val="21"/>
      <w:shd w:val="clear" w:color="auto" w:fill="auto"/>
    </w:rPr>
  </w:style>
  <w:style w:type="character" w:customStyle="1" w:styleId="14">
    <w:name w:val="明显参考1"/>
    <w:uiPriority w:val="24"/>
    <w:qFormat/>
    <w:rPr>
      <w:b/>
      <w:smallCaps/>
      <w:color w:val="5B9BD5"/>
      <w:w w:val="100"/>
      <w:sz w:val="21"/>
      <w:szCs w:val="21"/>
      <w:shd w:val="clear" w:color="auto" w:fill="auto"/>
    </w:rPr>
  </w:style>
  <w:style w:type="character" w:customStyle="1" w:styleId="15">
    <w:name w:val="书籍标题1"/>
    <w:uiPriority w:val="25"/>
    <w:qFormat/>
    <w:rPr>
      <w:b/>
      <w:i/>
      <w:w w:val="100"/>
      <w:sz w:val="21"/>
      <w:szCs w:val="21"/>
      <w:shd w:val="clear" w:color="auto" w:fill="auto"/>
    </w:rPr>
  </w:style>
  <w:style w:type="paragraph" w:styleId="ab">
    <w:name w:val="List Paragraph"/>
    <w:uiPriority w:val="26"/>
    <w:qFormat/>
    <w:pPr>
      <w:ind w:left="850"/>
      <w:jc w:val="both"/>
    </w:pPr>
    <w:rPr>
      <w:sz w:val="21"/>
      <w:szCs w:val="21"/>
    </w:rPr>
  </w:style>
  <w:style w:type="paragraph" w:customStyle="1" w:styleId="TOC1">
    <w:name w:val="TOC 标题1"/>
    <w:uiPriority w:val="27"/>
    <w:unhideWhenUsed/>
    <w:qFormat/>
    <w:pPr>
      <w:jc w:val="both"/>
    </w:pPr>
    <w:rPr>
      <w:color w:val="2E74B5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hdphoto" Target="media/hdphoto2.wdp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496</Words>
  <Characters>743</Characters>
  <Application>Microsoft Office Word</Application>
  <DocSecurity>0</DocSecurity>
  <PresentationFormat/>
  <Lines>39</Lines>
  <Paragraphs>24</Paragraphs>
  <ScaleCrop>false</ScaleCrop>
  <Manager/>
  <Company>二一教育</Company>
  <LinksUpToDate>false</LinksUpToDate>
  <CharactersWithSpaces>763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21cnjy.com</dc:creator>
  <cp:keywords>21</cp:keywords>
  <dc:description/>
  <cp:lastModifiedBy>Windows</cp:lastModifiedBy>
  <cp:revision>3</cp:revision>
  <dcterms:created xsi:type="dcterms:W3CDTF">2022-01-21T04:05:00Z</dcterms:created>
  <dcterms:modified xsi:type="dcterms:W3CDTF">2022-01-25T19:10:00Z</dcterms:modified>
  <cp:category/>
  <cp:contentStatus/>
  <dc:language/>
  <cp:version/>
</cp:coreProperties>
</file>