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638E7">
      <w:pPr>
        <w:spacing w:line="276" w:lineRule="auto"/>
        <w:jc w:val="center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hint="eastAsia"/>
          <w:b/>
          <w:sz w:val="24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10236200</wp:posOffset>
            </wp:positionV>
            <wp:extent cx="381000" cy="2540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8063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hint="eastAsia"/>
          <w:b/>
          <w:sz w:val="24"/>
          <w:szCs w:val="21"/>
        </w:rPr>
        <w:t>教学设计</w:t>
      </w: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4"/>
        <w:gridCol w:w="138"/>
        <w:gridCol w:w="1660"/>
        <w:gridCol w:w="1664"/>
        <w:gridCol w:w="1661"/>
        <w:gridCol w:w="1084"/>
        <w:gridCol w:w="576"/>
        <w:gridCol w:w="663"/>
        <w:gridCol w:w="992"/>
      </w:tblGrid>
      <w:tr>
        <w:tblPrEx>
          <w:tblW w:w="996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662" w:type="dxa"/>
            <w:gridSpan w:val="2"/>
            <w:shd w:val="clear" w:color="auto" w:fill="auto"/>
            <w:vAlign w:val="center"/>
          </w:tcPr>
          <w:p w:rsidR="00C638E7">
            <w:pPr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学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 xml:space="preserve">  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>科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C638E7">
            <w:pPr>
              <w:spacing w:line="276" w:lineRule="auto"/>
              <w:ind w:firstLine="420" w:firstLineChars="200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化学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638E7">
            <w:pPr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年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 xml:space="preserve">  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>级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C638E7">
            <w:pPr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九年级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C638E7">
            <w:pPr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教学形式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</w:tcPr>
          <w:p w:rsidR="00C638E7">
            <w:pPr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>
        <w:tblPrEx>
          <w:tblW w:w="9962" w:type="dxa"/>
          <w:tblLayout w:type="fixed"/>
          <w:tblLook w:val="04A0"/>
        </w:tblPrEx>
        <w:trPr>
          <w:trHeight w:val="395"/>
        </w:trPr>
        <w:tc>
          <w:tcPr>
            <w:tcW w:w="1662" w:type="dxa"/>
            <w:gridSpan w:val="2"/>
            <w:shd w:val="clear" w:color="auto" w:fill="auto"/>
            <w:vAlign w:val="center"/>
          </w:tcPr>
          <w:p w:rsidR="00C63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教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 xml:space="preserve">  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>师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C63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C63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单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 xml:space="preserve">  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>位</w:t>
            </w:r>
          </w:p>
        </w:tc>
        <w:tc>
          <w:tcPr>
            <w:tcW w:w="4976" w:type="dxa"/>
            <w:gridSpan w:val="5"/>
            <w:shd w:val="clear" w:color="auto" w:fill="auto"/>
            <w:vAlign w:val="center"/>
          </w:tcPr>
          <w:p w:rsidR="00C63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>
        <w:tblPrEx>
          <w:tblW w:w="9962" w:type="dxa"/>
          <w:tblLayout w:type="fixed"/>
          <w:tblLook w:val="04A0"/>
        </w:tblPrEx>
        <w:trPr>
          <w:trHeight w:val="414"/>
        </w:trPr>
        <w:tc>
          <w:tcPr>
            <w:tcW w:w="16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课题名称</w:t>
            </w:r>
          </w:p>
        </w:tc>
        <w:tc>
          <w:tcPr>
            <w:tcW w:w="830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>
        <w:tblPrEx>
          <w:tblW w:w="9962" w:type="dxa"/>
          <w:tblLayout w:type="fixed"/>
          <w:tblLook w:val="04A0"/>
        </w:tblPrEx>
        <w:trPr>
          <w:trHeight w:val="978"/>
        </w:trPr>
        <w:tc>
          <w:tcPr>
            <w:tcW w:w="9962" w:type="dxa"/>
            <w:gridSpan w:val="9"/>
            <w:shd w:val="clear" w:color="auto" w:fill="auto"/>
            <w:vAlign w:val="center"/>
          </w:tcPr>
          <w:p w:rsidR="00C638E7">
            <w:pPr>
              <w:spacing w:line="276" w:lineRule="auto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学情分析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 xml:space="preserve"> </w:t>
            </w:r>
          </w:p>
          <w:p w:rsidR="00C638E7">
            <w:pPr>
              <w:spacing w:line="276" w:lineRule="auto"/>
              <w:ind w:firstLine="480" w:firstLineChars="200"/>
              <w:rPr>
                <w:rFonts w:ascii="微软雅黑" w:eastAsia="微软雅黑" w:hAnsi="微软雅黑" w:cs="Arial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本课题以人类认识水的组成的简要史实引入并展开，符合事物的认识规律，贴近学生的实际，有利于缩小学生对化学科学的距离感，引起学生的学习兴趣。</w:t>
            </w:r>
          </w:p>
        </w:tc>
      </w:tr>
      <w:tr>
        <w:tblPrEx>
          <w:tblW w:w="9962" w:type="dxa"/>
          <w:tblLayout w:type="fixed"/>
          <w:tblLook w:val="04A0"/>
        </w:tblPrEx>
        <w:trPr>
          <w:trHeight w:val="978"/>
        </w:trPr>
        <w:tc>
          <w:tcPr>
            <w:tcW w:w="9962" w:type="dxa"/>
            <w:gridSpan w:val="9"/>
            <w:shd w:val="clear" w:color="auto" w:fill="auto"/>
            <w:vAlign w:val="center"/>
          </w:tcPr>
          <w:p w:rsidR="00C638E7">
            <w:pPr>
              <w:spacing w:line="276" w:lineRule="auto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教材</w:t>
            </w:r>
            <w:r>
              <w:rPr>
                <w:rFonts w:ascii="微软雅黑" w:eastAsia="微软雅黑" w:hAnsi="微软雅黑" w:cs="宋体"/>
                <w:b/>
                <w:szCs w:val="21"/>
              </w:rPr>
              <w:t>分析</w:t>
            </w:r>
          </w:p>
          <w:p w:rsidR="00C638E7">
            <w:pPr>
              <w:spacing w:line="276" w:lineRule="auto"/>
              <w:ind w:firstLine="480" w:firstLineChars="200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水虽然是学生非常熟悉的物质，但怎样以化学的眼光认识水，学生是陌生和不习惯的。本课题以人类认识水的组成的简要史实引入并展开，符合事物的认识规律，贴近学生的实际，有利于缩小学生对化学科学的距离感，引起学生的学习兴趣。对水的组成的认识是通过氢气的燃烧实验、水的电解实验和对实验现象的讨论分析获得的，体现了认识客观世界的科学过程和方法。这样展现知识具有启发学生思维的作用，同时也渗透了科学思想方法的教育。在认识了水的组成的基础上，结合第二单元所学氧气的知识，从它们组成上的区别归纳出单质、化合物、氧化物的</w:t>
            </w:r>
            <w:r>
              <w:rPr>
                <w:rFonts w:ascii="宋体" w:hAnsi="宋体" w:hint="eastAsia"/>
                <w:sz w:val="24"/>
              </w:rPr>
              <w:t>的</w:t>
            </w:r>
            <w:r>
              <w:rPr>
                <w:rFonts w:ascii="宋体" w:hAnsi="宋体" w:hint="eastAsia"/>
                <w:sz w:val="24"/>
              </w:rPr>
              <w:t>概念。</w:t>
            </w:r>
          </w:p>
        </w:tc>
      </w:tr>
      <w:tr>
        <w:tblPrEx>
          <w:tblW w:w="9962" w:type="dxa"/>
          <w:tblLayout w:type="fixed"/>
          <w:tblLook w:val="04A0"/>
        </w:tblPrEx>
        <w:tc>
          <w:tcPr>
            <w:tcW w:w="9962" w:type="dxa"/>
            <w:gridSpan w:val="9"/>
            <w:shd w:val="clear" w:color="auto" w:fill="auto"/>
          </w:tcPr>
          <w:p w:rsidR="00C638E7">
            <w:pPr>
              <w:spacing w:line="276" w:lineRule="auto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教学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>目标</w:t>
            </w:r>
          </w:p>
          <w:p w:rsidR="00C638E7">
            <w:pPr>
              <w:spacing w:line="276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(1)</w:t>
            </w:r>
            <w:r>
              <w:rPr>
                <w:rFonts w:ascii="宋体" w:hAnsi="宋体" w:hint="eastAsia"/>
                <w:sz w:val="24"/>
              </w:rPr>
              <w:t>认识水的组成，了解并区分单质和化合物。</w:t>
            </w:r>
          </w:p>
          <w:p w:rsidR="00C638E7"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(2)</w:t>
            </w:r>
            <w:r>
              <w:rPr>
                <w:rFonts w:ascii="宋体" w:hAnsi="宋体" w:hint="eastAsia"/>
                <w:sz w:val="24"/>
              </w:rPr>
              <w:t>结合资料，从人类认识水的组成的过程中体会科学探究和思维的方法，认识实验探究和创新思维的重要性。</w:t>
            </w:r>
          </w:p>
          <w:p w:rsidR="00C638E7"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(3)</w:t>
            </w:r>
            <w:r>
              <w:rPr>
                <w:rFonts w:ascii="宋体" w:hAnsi="宋体" w:hint="eastAsia"/>
                <w:sz w:val="24"/>
              </w:rPr>
              <w:t>充分利用讨论，培养学生观察、分析、归纳实验现象的能力和习惯。</w:t>
            </w:r>
          </w:p>
          <w:p w:rsidR="00C638E7">
            <w:pPr>
              <w:spacing w:line="276" w:lineRule="auto"/>
              <w:ind w:firstLine="240" w:firstLineChars="100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(4)</w:t>
            </w:r>
            <w:r>
              <w:rPr>
                <w:rFonts w:ascii="宋体" w:hAnsi="宋体" w:hint="eastAsia"/>
                <w:sz w:val="24"/>
              </w:rPr>
              <w:t>了解人类认识物质世界的过程和方法，培养学生科学探究的精神。</w:t>
            </w:r>
          </w:p>
        </w:tc>
      </w:tr>
      <w:tr>
        <w:tblPrEx>
          <w:tblW w:w="9962" w:type="dxa"/>
          <w:tblLayout w:type="fixed"/>
          <w:tblLook w:val="04A0"/>
        </w:tblPrEx>
        <w:tc>
          <w:tcPr>
            <w:tcW w:w="9962" w:type="dxa"/>
            <w:gridSpan w:val="9"/>
            <w:shd w:val="clear" w:color="auto" w:fill="auto"/>
          </w:tcPr>
          <w:p w:rsidR="00C638E7">
            <w:pPr>
              <w:spacing w:line="276" w:lineRule="auto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教学</w:t>
            </w:r>
            <w:r>
              <w:rPr>
                <w:rFonts w:ascii="微软雅黑" w:eastAsia="微软雅黑" w:hAnsi="微软雅黑" w:cs="宋体"/>
                <w:b/>
                <w:szCs w:val="21"/>
              </w:rPr>
              <w:t>重难点</w:t>
            </w:r>
          </w:p>
          <w:p w:rsidR="00C638E7">
            <w:pPr>
              <w:spacing w:line="276" w:lineRule="auto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重点</w:t>
            </w:r>
            <w:r>
              <w:rPr>
                <w:rFonts w:ascii="微软雅黑" w:eastAsia="微软雅黑" w:hAnsi="微软雅黑" w:cs="宋体"/>
                <w:szCs w:val="21"/>
              </w:rPr>
              <w:t>：</w:t>
            </w:r>
            <w:r>
              <w:rPr>
                <w:rFonts w:ascii="宋体" w:hAnsi="宋体" w:hint="eastAsia"/>
                <w:sz w:val="24"/>
              </w:rPr>
              <w:t>水的组成。</w:t>
            </w:r>
          </w:p>
          <w:p w:rsidR="00C638E7">
            <w:pPr>
              <w:spacing w:line="276" w:lineRule="auto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难点</w:t>
            </w:r>
            <w:r>
              <w:rPr>
                <w:rFonts w:ascii="微软雅黑" w:eastAsia="微软雅黑" w:hAnsi="微软雅黑" w:cs="宋体"/>
                <w:szCs w:val="21"/>
              </w:rPr>
              <w:t>：</w:t>
            </w:r>
            <w:r>
              <w:rPr>
                <w:rFonts w:ascii="宋体" w:hAnsi="宋体" w:hint="eastAsia"/>
                <w:sz w:val="24"/>
              </w:rPr>
              <w:t>对单质、化合物概念的理解。</w:t>
            </w:r>
          </w:p>
        </w:tc>
      </w:tr>
      <w:tr>
        <w:tblPrEx>
          <w:tblW w:w="9962" w:type="dxa"/>
          <w:tblLayout w:type="fixed"/>
          <w:tblLook w:val="04A0"/>
        </w:tblPrEx>
        <w:tc>
          <w:tcPr>
            <w:tcW w:w="9962" w:type="dxa"/>
            <w:gridSpan w:val="9"/>
            <w:shd w:val="clear" w:color="auto" w:fill="auto"/>
          </w:tcPr>
          <w:p w:rsidR="00C638E7">
            <w:pPr>
              <w:spacing w:line="276" w:lineRule="auto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教学</w:t>
            </w:r>
            <w:r>
              <w:rPr>
                <w:rFonts w:ascii="微软雅黑" w:eastAsia="微软雅黑" w:hAnsi="微软雅黑" w:cs="宋体"/>
                <w:b/>
                <w:szCs w:val="21"/>
              </w:rPr>
              <w:t>策略：</w:t>
            </w:r>
          </w:p>
          <w:p w:rsidR="00C638E7">
            <w:pPr>
              <w:spacing w:line="276" w:lineRule="auto"/>
              <w:ind w:firstLine="420" w:firstLineChars="200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多媒体辅助教学</w:t>
            </w:r>
            <w:r>
              <w:rPr>
                <w:rFonts w:ascii="微软雅黑" w:eastAsia="微软雅黑" w:hAnsi="微软雅黑" w:cs="宋体" w:hint="eastAsia"/>
                <w:szCs w:val="21"/>
              </w:rPr>
              <w:t xml:space="preserve">    </w:t>
            </w:r>
            <w:r>
              <w:rPr>
                <w:rFonts w:ascii="微软雅黑" w:eastAsia="微软雅黑" w:hAnsi="微软雅黑" w:cs="宋体" w:hint="eastAsia"/>
                <w:szCs w:val="21"/>
              </w:rPr>
              <w:t>教学助手</w:t>
            </w:r>
            <w:r>
              <w:rPr>
                <w:rFonts w:ascii="微软雅黑" w:eastAsia="微软雅黑" w:hAnsi="微软雅黑" w:cs="宋体" w:hint="eastAsia"/>
                <w:szCs w:val="21"/>
              </w:rPr>
              <w:t xml:space="preserve"> </w:t>
            </w:r>
          </w:p>
        </w:tc>
      </w:tr>
      <w:tr>
        <w:tblPrEx>
          <w:tblW w:w="9962" w:type="dxa"/>
          <w:tblLayout w:type="fixed"/>
          <w:tblLook w:val="04A0"/>
        </w:tblPrEx>
        <w:trPr>
          <w:trHeight w:val="560"/>
        </w:trPr>
        <w:tc>
          <w:tcPr>
            <w:tcW w:w="9962" w:type="dxa"/>
            <w:gridSpan w:val="9"/>
            <w:shd w:val="clear" w:color="auto" w:fill="auto"/>
          </w:tcPr>
          <w:p w:rsidR="00C638E7">
            <w:pPr>
              <w:spacing w:line="276" w:lineRule="auto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教学过程与方法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 xml:space="preserve">    </w:t>
            </w:r>
          </w:p>
        </w:tc>
      </w:tr>
      <w:tr>
        <w:tblPrEx>
          <w:tblW w:w="9962" w:type="dxa"/>
          <w:tblLayout w:type="fixed"/>
          <w:tblLook w:val="04A0"/>
        </w:tblPrEx>
        <w:trPr>
          <w:trHeight w:val="554"/>
        </w:trPr>
        <w:tc>
          <w:tcPr>
            <w:tcW w:w="1524" w:type="dxa"/>
            <w:shd w:val="clear" w:color="auto" w:fill="auto"/>
          </w:tcPr>
          <w:p w:rsidR="00C638E7">
            <w:pPr>
              <w:spacing w:line="276" w:lineRule="auto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szCs w:val="21"/>
              </w:rPr>
              <w:t>教学</w:t>
            </w:r>
            <w:r>
              <w:rPr>
                <w:rFonts w:ascii="微软雅黑" w:eastAsia="微软雅黑" w:hAnsi="微软雅黑" w:cs="Arial"/>
                <w:b/>
                <w:szCs w:val="21"/>
              </w:rPr>
              <w:t>环节</w:t>
            </w:r>
          </w:p>
        </w:tc>
        <w:tc>
          <w:tcPr>
            <w:tcW w:w="6207" w:type="dxa"/>
            <w:gridSpan w:val="5"/>
            <w:shd w:val="clear" w:color="auto" w:fill="auto"/>
          </w:tcPr>
          <w:p w:rsidR="00C638E7" w:rsidP="00A95C20">
            <w:pPr>
              <w:spacing w:line="276" w:lineRule="auto"/>
              <w:ind w:firstLine="1680" w:firstLineChars="800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教师</w:t>
            </w:r>
            <w:r>
              <w:rPr>
                <w:rFonts w:ascii="微软雅黑" w:eastAsia="微软雅黑" w:hAnsi="微软雅黑" w:cs="宋体"/>
                <w:b/>
                <w:szCs w:val="21"/>
              </w:rPr>
              <w:t>活动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C638E7">
            <w:pPr>
              <w:spacing w:line="276" w:lineRule="auto"/>
              <w:ind w:firstLine="210" w:firstLineChars="100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学生</w:t>
            </w:r>
            <w:r>
              <w:rPr>
                <w:rFonts w:ascii="微软雅黑" w:eastAsia="微软雅黑" w:hAnsi="微软雅黑" w:cs="宋体"/>
                <w:b/>
                <w:szCs w:val="21"/>
              </w:rPr>
              <w:t>活动</w:t>
            </w:r>
          </w:p>
        </w:tc>
        <w:tc>
          <w:tcPr>
            <w:tcW w:w="992" w:type="dxa"/>
            <w:shd w:val="clear" w:color="auto" w:fill="auto"/>
          </w:tcPr>
          <w:p w:rsidR="00C638E7">
            <w:pPr>
              <w:spacing w:line="276" w:lineRule="auto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设计</w:t>
            </w:r>
            <w:r>
              <w:rPr>
                <w:rFonts w:ascii="微软雅黑" w:eastAsia="微软雅黑" w:hAnsi="微软雅黑" w:cs="宋体"/>
                <w:b/>
                <w:szCs w:val="21"/>
              </w:rPr>
              <w:t>意图</w:t>
            </w:r>
          </w:p>
        </w:tc>
      </w:tr>
      <w:tr>
        <w:tblPrEx>
          <w:tblW w:w="9962" w:type="dxa"/>
          <w:tblLayout w:type="fixed"/>
          <w:tblLook w:val="04A0"/>
        </w:tblPrEx>
        <w:trPr>
          <w:trHeight w:val="3255"/>
        </w:trPr>
        <w:tc>
          <w:tcPr>
            <w:tcW w:w="1524" w:type="dxa"/>
            <w:shd w:val="clear" w:color="auto" w:fill="auto"/>
          </w:tcPr>
          <w:p w:rsidR="00C638E7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一、导入新课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二、推进新课</w:t>
            </w: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276" w:lineRule="auto"/>
              <w:rPr>
                <w:rFonts w:ascii="微软雅黑" w:eastAsia="微软雅黑" w:hAnsi="微软雅黑" w:cs="Arial"/>
                <w:szCs w:val="21"/>
              </w:rPr>
            </w:pPr>
          </w:p>
          <w:p w:rsidR="00C638E7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四、课堂检测</w:t>
            </w:r>
          </w:p>
          <w:p w:rsidR="00C638E7">
            <w:pPr>
              <w:spacing w:line="276" w:lineRule="auto"/>
              <w:rPr>
                <w:rFonts w:ascii="宋体" w:hAnsi="宋体"/>
                <w:b/>
                <w:sz w:val="24"/>
              </w:rPr>
            </w:pPr>
          </w:p>
          <w:p w:rsidR="00C638E7">
            <w:pPr>
              <w:numPr>
                <w:ilvl w:val="0"/>
                <w:numId w:val="1"/>
              </w:numPr>
              <w:spacing w:line="276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课堂小结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</w:p>
          <w:p w:rsidR="00C638E7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六、布置作业</w:t>
            </w:r>
          </w:p>
          <w:p w:rsidR="00C638E7">
            <w:pPr>
              <w:spacing w:line="276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207" w:type="dxa"/>
            <w:gridSpan w:val="5"/>
            <w:shd w:val="clear" w:color="auto" w:fill="auto"/>
          </w:tcPr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［提问］通过上几节课的学习，我们知道空气对我们来说很重要。这节课我们将学习和了解另一种我们非常常见的化学物质。它在我们的生活中同空气一样重要。你们知道它是什么吗？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 w:hint="eastAsia"/>
                <w:sz w:val="24"/>
              </w:rPr>
              <w:t>氢气的性质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氢气化学性质：能燃烧，产生淡蓝色火焰，在火焰上方罩</w:t>
            </w:r>
            <w:r>
              <w:rPr>
                <w:rFonts w:ascii="宋体" w:hAnsi="宋体" w:hint="eastAsia"/>
                <w:sz w:val="24"/>
              </w:rPr>
              <w:t>一</w:t>
            </w:r>
            <w:r>
              <w:rPr>
                <w:rFonts w:ascii="宋体" w:hAnsi="宋体" w:hint="eastAsia"/>
                <w:sz w:val="24"/>
              </w:rPr>
              <w:t>烧杯，杯壁有水雾。</w:t>
            </w:r>
          </w:p>
          <w:p w:rsidR="00C638E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［讲解］使用氢气时，要注意安全。点燃氢气前，一定要检验氢气纯度。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>水的组成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［展示］介绍水</w:t>
            </w:r>
            <w:r>
              <w:rPr>
                <w:rFonts w:ascii="宋体" w:hAnsi="宋体" w:hint="eastAsia"/>
                <w:sz w:val="24"/>
              </w:rPr>
              <w:t>电解器</w:t>
            </w:r>
            <w:r>
              <w:rPr>
                <w:rFonts w:ascii="宋体" w:hAnsi="宋体" w:hint="eastAsia"/>
                <w:sz w:val="24"/>
              </w:rPr>
              <w:t>及电解液（在水</w:t>
            </w:r>
            <w:r>
              <w:rPr>
                <w:rFonts w:ascii="宋体" w:hAnsi="宋体" w:hint="eastAsia"/>
                <w:sz w:val="24"/>
              </w:rPr>
              <w:t>电解器</w:t>
            </w:r>
            <w:r>
              <w:rPr>
                <w:rFonts w:ascii="宋体" w:hAnsi="宋体" w:hint="eastAsia"/>
                <w:sz w:val="24"/>
              </w:rPr>
              <w:t>的玻璃管里注满水，在水中加入少量的氢氧化钠溶液，增强水的导电性，加快水的电解速率，一个电极接电源正极，另一个电极接电源负极，接通直流电。）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［提问］注意观察，电极上发生什么现象？两支玻璃管内的液面有什么变化？</w:t>
            </w:r>
          </w:p>
          <w:p w:rsidR="00C638E7">
            <w:pPr>
              <w:spacing w:line="276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用一根带火星的木条检验正极产生的气体。注意观察现象。</w:t>
            </w:r>
          </w:p>
          <w:p w:rsidR="00C638E7">
            <w:pPr>
              <w:spacing w:line="276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用一根点燃的火柴检验负极产生的气体。注意观察现象。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实验表明：水电解后生成氢气和氧气。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114300" distR="114300">
                  <wp:extent cx="2326005" cy="577215"/>
                  <wp:effectExtent l="0" t="0" r="17145" b="1333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556501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6005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</w:t>
            </w:r>
            <w:r>
              <w:rPr>
                <w:rFonts w:ascii="宋体" w:hAnsi="宋体" w:hint="eastAsia"/>
                <w:sz w:val="24"/>
              </w:rPr>
              <w:t>单质、化合物和氧化物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通过刚才的实验，我们可以知道，水（</w:t>
            </w:r>
            <w:r>
              <w:rPr>
                <w:rFonts w:ascii="宋体" w:hAnsi="宋体" w:hint="eastAsia"/>
                <w:sz w:val="24"/>
              </w:rPr>
              <w:t>H</w:t>
            </w:r>
            <w:r>
              <w:rPr>
                <w:rFonts w:ascii="宋体" w:hAnsi="宋体" w:hint="eastAsia"/>
                <w:sz w:val="24"/>
                <w:vertAlign w:val="subscript"/>
              </w:rPr>
              <w:t>2</w:t>
            </w:r>
            <w:r>
              <w:rPr>
                <w:rFonts w:ascii="宋体" w:hAnsi="宋体" w:hint="eastAsia"/>
                <w:sz w:val="24"/>
              </w:rPr>
              <w:t xml:space="preserve">O </w:t>
            </w:r>
            <w:r>
              <w:rPr>
                <w:rFonts w:ascii="宋体" w:hAnsi="宋体" w:hint="eastAsia"/>
                <w:sz w:val="24"/>
              </w:rPr>
              <w:t>）、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氢气（</w:t>
            </w:r>
            <w:r>
              <w:rPr>
                <w:rFonts w:ascii="宋体" w:hAnsi="宋体" w:hint="eastAsia"/>
                <w:sz w:val="24"/>
              </w:rPr>
              <w:t>H</w:t>
            </w:r>
            <w:r>
              <w:rPr>
                <w:rFonts w:ascii="宋体" w:hAnsi="宋体" w:hint="eastAsia"/>
                <w:sz w:val="24"/>
                <w:vertAlign w:val="subscript"/>
              </w:rPr>
              <w:t>2</w:t>
            </w:r>
            <w:r>
              <w:rPr>
                <w:rFonts w:ascii="宋体" w:hAnsi="宋体" w:hint="eastAsia"/>
                <w:sz w:val="24"/>
              </w:rPr>
              <w:t>）、氧气（</w:t>
            </w:r>
            <w:r>
              <w:rPr>
                <w:rFonts w:ascii="宋体" w:hAnsi="宋体" w:hint="eastAsia"/>
                <w:sz w:val="24"/>
              </w:rPr>
              <w:t>O</w:t>
            </w:r>
            <w:r>
              <w:rPr>
                <w:rFonts w:ascii="宋体" w:hAnsi="宋体" w:hint="eastAsia"/>
                <w:sz w:val="24"/>
                <w:vertAlign w:val="subscript"/>
              </w:rPr>
              <w:t>2</w:t>
            </w:r>
            <w:r>
              <w:rPr>
                <w:rFonts w:ascii="宋体" w:hAnsi="宋体" w:hint="eastAsia"/>
                <w:sz w:val="24"/>
              </w:rPr>
              <w:t>）虽然都是纯净物，但它们的组成却各不相同。你能说说区别吗？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我们可以把这种组成中含有不同种元素的纯净物叫</w:t>
            </w:r>
            <w:r>
              <w:rPr>
                <w:rFonts w:ascii="宋体" w:hAnsi="宋体" w:hint="eastAsia"/>
                <w:sz w:val="24"/>
              </w:rPr>
              <w:t>做化合物，而由同种元素组成的纯净物叫做单质。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［归纳］物质的简单分类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完成练习册中本课时对应课堂作业部分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b/>
                <w:sz w:val="24"/>
              </w:rPr>
            </w:pP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［提问］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通过今天的学习，你有哪些收获？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完成练习册中本课时对应课后作业</w:t>
            </w:r>
          </w:p>
          <w:p w:rsidR="00C638E7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ind w:firstLine="240" w:firstLineChars="10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2"/>
            <w:shd w:val="clear" w:color="auto" w:fill="auto"/>
          </w:tcPr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水用于维持生命、灌溉农田、工业用水、水上交通……</w:t>
            </w: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接通电源后，电极上有气泡产生。两支玻璃管里汇集了气体，液面降低，其中正极产生的气体比负极产生的气体少。</w:t>
            </w: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木条复燃，说明这种气体是氧气</w:t>
            </w:r>
          </w:p>
          <w:p w:rsidR="00C638E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看到微弱的淡蓝色火焰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或</w:t>
            </w:r>
            <w:r>
              <w:rPr>
                <w:rFonts w:ascii="宋体" w:hAnsi="宋体" w:hint="eastAsia"/>
                <w:sz w:val="24"/>
              </w:rPr>
              <w:t>听到</w:t>
            </w:r>
            <w:r>
              <w:rPr>
                <w:rFonts w:ascii="宋体" w:hAnsi="宋体" w:hint="eastAsia"/>
                <w:sz w:val="24"/>
              </w:rPr>
              <w:t>爆</w:t>
            </w:r>
            <w:r>
              <w:rPr>
                <w:rFonts w:ascii="宋体" w:hAnsi="宋体" w:hint="eastAsia"/>
                <w:sz w:val="24"/>
              </w:rPr>
              <w:t>鸣声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教师纠正、归纳并联系自然现象、生活实际适当作些拓展。</w:t>
            </w: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C638E7"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学生学会氢气和氧气的鉴别</w:t>
            </w:r>
          </w:p>
        </w:tc>
      </w:tr>
      <w:tr>
        <w:tblPrEx>
          <w:tblW w:w="9962" w:type="dxa"/>
          <w:tblLayout w:type="fixed"/>
          <w:tblLook w:val="04A0"/>
        </w:tblPrEx>
        <w:tc>
          <w:tcPr>
            <w:tcW w:w="9962" w:type="dxa"/>
            <w:gridSpan w:val="9"/>
            <w:shd w:val="clear" w:color="auto" w:fill="auto"/>
          </w:tcPr>
          <w:p w:rsidR="00C638E7">
            <w:pPr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板书设计</w:t>
            </w:r>
            <w:r>
              <w:rPr>
                <w:rFonts w:ascii="微软雅黑" w:eastAsia="微软雅黑" w:hAnsi="微软雅黑" w:cs="宋体" w:hint="eastAsia"/>
                <w:b/>
                <w:szCs w:val="21"/>
              </w:rPr>
              <w:t xml:space="preserve">           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课题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 xml:space="preserve">3  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水的组成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 w:hint="eastAsia"/>
                <w:sz w:val="24"/>
              </w:rPr>
              <w:t>氢气的性质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物理性质：无色无味的气体，难溶于水，密度比空气小。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化学性质：可燃性。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>水的组成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）电解水的实验：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①现象：出现气泡，</w:t>
            </w:r>
            <w:r>
              <w:rPr>
                <w:rFonts w:ascii="宋体" w:hAnsi="宋体" w:hint="eastAsia"/>
                <w:sz w:val="24"/>
              </w:rPr>
              <w:t>V</w:t>
            </w:r>
            <w:r>
              <w:rPr>
                <w:rFonts w:ascii="宋体" w:hAnsi="宋体" w:hint="eastAsia"/>
                <w:sz w:val="24"/>
              </w:rPr>
              <w:t>正极∶</w:t>
            </w:r>
            <w:r>
              <w:rPr>
                <w:rFonts w:ascii="宋体" w:hAnsi="宋体" w:hint="eastAsia"/>
                <w:sz w:val="24"/>
              </w:rPr>
              <w:t>V</w:t>
            </w:r>
            <w:r>
              <w:rPr>
                <w:rFonts w:ascii="宋体" w:hAnsi="宋体" w:hint="eastAsia"/>
                <w:sz w:val="24"/>
              </w:rPr>
              <w:t>负极</w:t>
            </w:r>
            <w:r>
              <w:rPr>
                <w:rFonts w:ascii="宋体" w:hAnsi="宋体" w:hint="eastAsia"/>
                <w:sz w:val="24"/>
              </w:rPr>
              <w:t>=1</w:t>
            </w:r>
            <w:r>
              <w:rPr>
                <w:rFonts w:ascii="宋体" w:hAnsi="宋体" w:hint="eastAsia"/>
                <w:sz w:val="24"/>
              </w:rPr>
              <w:t>∶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（体积比）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②产物检验：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a.</w:t>
            </w:r>
            <w:r>
              <w:rPr>
                <w:rFonts w:ascii="宋体" w:hAnsi="宋体" w:hint="eastAsia"/>
                <w:sz w:val="24"/>
              </w:rPr>
              <w:t>正极气体：能使带火星的木条复燃→氧气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b.</w:t>
            </w:r>
            <w:r>
              <w:rPr>
                <w:rFonts w:ascii="宋体" w:hAnsi="宋体" w:hint="eastAsia"/>
                <w:sz w:val="24"/>
              </w:rPr>
              <w:t>负极气体：能够燃烧，火焰呈淡蓝色→氢气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114300" distR="114300">
                  <wp:extent cx="2777490" cy="505460"/>
                  <wp:effectExtent l="0" t="0" r="3810" b="825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824525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490" cy="50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）水是由氢元素和氧元素组成的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</w:t>
            </w:r>
            <w:r>
              <w:rPr>
                <w:rFonts w:ascii="宋体" w:hAnsi="宋体" w:hint="eastAsia"/>
                <w:sz w:val="24"/>
              </w:rPr>
              <w:t>单质、化合物和氧化物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）单质：由同种元素组成的纯净物。</w:t>
            </w:r>
          </w:p>
          <w:p w:rsidR="00C638E7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）化合物</w:t>
            </w:r>
            <w:r>
              <w:rPr>
                <w:rFonts w:ascii="宋体" w:hAnsi="宋体" w:hint="eastAsia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由不同种元素组成的纯净物。</w:t>
            </w:r>
          </w:p>
          <w:p w:rsidR="00C638E7">
            <w:pPr>
              <w:spacing w:line="360" w:lineRule="auto"/>
              <w:ind w:firstLine="480" w:firstLineChars="200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）氧化物：由两种元素组成，其中一种是氧元素的化合物。</w:t>
            </w:r>
          </w:p>
        </w:tc>
      </w:tr>
    </w:tbl>
    <w:p w:rsidR="00C638E7">
      <w:pPr>
        <w:rPr>
          <w:rFonts w:ascii="微软雅黑" w:eastAsia="微软雅黑" w:hAnsi="微软雅黑"/>
          <w:szCs w:val="21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F49DC0A"/>
    <w:multiLevelType w:val="singleLevel"/>
    <w:tmpl w:val="3F49DC0A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A1"/>
    <w:rsid w:val="000D16E2"/>
    <w:rsid w:val="00127262"/>
    <w:rsid w:val="00183F7A"/>
    <w:rsid w:val="003750D0"/>
    <w:rsid w:val="003F35AE"/>
    <w:rsid w:val="00441507"/>
    <w:rsid w:val="004920BB"/>
    <w:rsid w:val="00552B93"/>
    <w:rsid w:val="006A0D5A"/>
    <w:rsid w:val="00821FF6"/>
    <w:rsid w:val="00A419A1"/>
    <w:rsid w:val="00A95C20"/>
    <w:rsid w:val="00AF7B8C"/>
    <w:rsid w:val="00BB5607"/>
    <w:rsid w:val="00BE4FC0"/>
    <w:rsid w:val="00C638E7"/>
    <w:rsid w:val="00CD67B9"/>
    <w:rsid w:val="00D1264A"/>
    <w:rsid w:val="00F264A3"/>
    <w:rsid w:val="0BC2434B"/>
    <w:rsid w:val="2D3C319F"/>
    <w:rsid w:val="3FB770F5"/>
    <w:rsid w:val="4B5B342E"/>
    <w:rsid w:val="62043910"/>
    <w:rsid w:val="63F9718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眉 Char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95C20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95C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251</Words>
  <Characters>1432</Characters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2016-08-18T07:53:00Z</dcterms:created>
  <dcterms:modified xsi:type="dcterms:W3CDTF">2020-11-18T12:37:00Z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