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28"/>
          <w:szCs w:val="32"/>
        </w:rPr>
      </w:pPr>
      <w:bookmarkStart w:id="0" w:name="_GoBack"/>
      <w:bookmarkEnd w:id="0"/>
      <w:r>
        <w:rPr>
          <w:rFonts w:hint="eastAsia" w:ascii="宋体" w:hAnsi="宋体" w:eastAsia="宋体"/>
          <w:b/>
          <w:bCs/>
          <w:sz w:val="28"/>
          <w:szCs w:val="32"/>
        </w:rPr>
        <w:drawing>
          <wp:anchor distT="0" distB="0" distL="114300" distR="114300" simplePos="0" relativeHeight="251659264" behindDoc="0" locked="0" layoutInCell="1" allowOverlap="1">
            <wp:simplePos x="0" y="0"/>
            <wp:positionH relativeFrom="page">
              <wp:posOffset>10274300</wp:posOffset>
            </wp:positionH>
            <wp:positionV relativeFrom="topMargin">
              <wp:posOffset>12179300</wp:posOffset>
            </wp:positionV>
            <wp:extent cx="254000" cy="254000"/>
            <wp:effectExtent l="0" t="0" r="1270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54000" cy="254000"/>
                    </a:xfrm>
                    <a:prstGeom prst="rect">
                      <a:avLst/>
                    </a:prstGeom>
                  </pic:spPr>
                </pic:pic>
              </a:graphicData>
            </a:graphic>
          </wp:anchor>
        </w:drawing>
      </w:r>
      <w:r>
        <w:rPr>
          <w:rFonts w:hint="eastAsia" w:ascii="宋体" w:hAnsi="宋体" w:eastAsia="宋体"/>
          <w:b/>
          <w:bCs/>
          <w:sz w:val="28"/>
          <w:szCs w:val="32"/>
        </w:rPr>
        <w:t>宝山初三二模</w:t>
      </w:r>
    </w:p>
    <w:p>
      <w:pPr>
        <w:jc w:val="center"/>
        <w:rPr>
          <w:rFonts w:ascii="宋体" w:hAnsi="宋体" w:eastAsia="宋体"/>
          <w:b/>
          <w:bCs/>
          <w:sz w:val="28"/>
          <w:szCs w:val="32"/>
        </w:rPr>
      </w:pPr>
      <w:r>
        <w:rPr>
          <w:rFonts w:ascii="宋体" w:hAnsi="宋体" w:eastAsia="宋体"/>
          <w:b/>
          <w:bCs/>
          <w:sz w:val="28"/>
          <w:szCs w:val="32"/>
        </w:rPr>
        <w:t>2021学年第二学期九年级道德与法治网络教学质量调研</w:t>
      </w:r>
    </w:p>
    <w:p>
      <w:pPr>
        <w:rPr>
          <w:rFonts w:ascii="楷体" w:hAnsi="楷体" w:eastAsia="楷体"/>
        </w:rPr>
      </w:pPr>
      <w:r>
        <w:rPr>
          <w:rFonts w:hint="eastAsia" w:ascii="楷体" w:hAnsi="楷体" w:eastAsia="楷体"/>
        </w:rPr>
        <w:t>（考试时间：</w:t>
      </w:r>
      <w:r>
        <w:rPr>
          <w:rFonts w:ascii="楷体" w:hAnsi="楷体" w:eastAsia="楷体"/>
        </w:rPr>
        <w:t>40分钟</w:t>
      </w:r>
      <w:r>
        <w:rPr>
          <w:rFonts w:hint="eastAsia" w:ascii="楷体" w:hAnsi="楷体" w:eastAsia="楷体"/>
        </w:rPr>
        <w:t>满分</w:t>
      </w:r>
      <w:r>
        <w:rPr>
          <w:rFonts w:ascii="楷体" w:hAnsi="楷体" w:eastAsia="楷体"/>
        </w:rPr>
        <w:t>30分）</w:t>
      </w:r>
    </w:p>
    <w:p>
      <w:pPr>
        <w:rPr>
          <w:rFonts w:ascii="楷体" w:hAnsi="楷体" w:eastAsia="楷体"/>
        </w:rPr>
      </w:pPr>
      <w:r>
        <w:rPr>
          <w:rFonts w:hint="eastAsia" w:ascii="楷体" w:hAnsi="楷体" w:eastAsia="楷体"/>
        </w:rPr>
        <w:t>考生注意：</w:t>
      </w:r>
    </w:p>
    <w:p>
      <w:pPr>
        <w:rPr>
          <w:rFonts w:ascii="楷体" w:hAnsi="楷体" w:eastAsia="楷体"/>
        </w:rPr>
      </w:pPr>
      <w:r>
        <w:rPr>
          <w:rFonts w:ascii="楷体" w:hAnsi="楷体" w:eastAsia="楷体"/>
        </w:rPr>
        <w:t>1.本试卷满分30分，考试时间40分钟，全开卷。</w:t>
      </w:r>
    </w:p>
    <w:p>
      <w:pPr>
        <w:rPr>
          <w:rFonts w:ascii="楷体" w:hAnsi="楷体" w:eastAsia="楷体"/>
        </w:rPr>
      </w:pPr>
      <w:r>
        <w:rPr>
          <w:rFonts w:ascii="楷体" w:hAnsi="楷体" w:eastAsia="楷体"/>
        </w:rPr>
        <w:t>2.请将所有答案做在答题纸指定区域内，做在试卷上或指定区域外一律不得分。</w:t>
      </w:r>
    </w:p>
    <w:p>
      <w:pPr>
        <w:rPr>
          <w:rFonts w:ascii="楷体" w:hAnsi="楷体" w:eastAsia="楷体"/>
        </w:rPr>
      </w:pPr>
      <w:r>
        <w:rPr>
          <w:rFonts w:ascii="楷体" w:hAnsi="楷体" w:eastAsia="楷体"/>
        </w:rPr>
        <w:t>3.只允许携带《义务教育教科书（五·四学制）道德与法治》（六七八九年级），教科书中不得夹带任何材料。</w:t>
      </w:r>
    </w:p>
    <w:p>
      <w:pPr>
        <w:rPr>
          <w:rFonts w:ascii="宋体" w:hAnsi="宋体" w:eastAsia="宋体"/>
        </w:rPr>
      </w:pPr>
      <w:r>
        <w:rPr>
          <w:rFonts w:hint="eastAsia" w:ascii="宋体" w:hAnsi="宋体" w:eastAsia="宋体"/>
        </w:rPr>
        <w:t>一、综合理解题（本题共</w:t>
      </w:r>
      <w:r>
        <w:rPr>
          <w:rFonts w:ascii="宋体" w:hAnsi="宋体" w:eastAsia="宋体"/>
        </w:rPr>
        <w:t>12分）</w:t>
      </w:r>
    </w:p>
    <w:p>
      <w:pPr>
        <w:rPr>
          <w:rFonts w:ascii="宋体" w:hAnsi="宋体" w:eastAsia="宋体"/>
        </w:rPr>
      </w:pPr>
      <w:r>
        <w:rPr>
          <w:rFonts w:ascii="宋体" w:hAnsi="宋体" w:eastAsia="宋体"/>
        </w:rPr>
        <w:t>一年一度的全国两会被外国媒体视为观察中国的重要窗口。其中，政府工作报告更是备受瞩目。2022年3月5日，李克强总理代表国务院向十三届全国人大五次会议作政府工作报告。</w:t>
      </w:r>
    </w:p>
    <w:p>
      <w:pPr>
        <w:rPr>
          <w:rFonts w:ascii="宋体" w:hAnsi="宋体" w:eastAsia="宋体"/>
        </w:rPr>
      </w:pPr>
      <w:r>
        <w:rPr>
          <w:rFonts w:ascii="宋体" w:hAnsi="宋体" w:eastAsia="宋体"/>
        </w:rPr>
        <w:t>1.李克强总理代表国务院向十三届全国人大五次会议作政府工作报告，体现了</w:t>
      </w:r>
      <w:r>
        <w:rPr>
          <w:rFonts w:hint="eastAsia" w:ascii="宋体" w:hAnsi="宋体" w:eastAsia="宋体"/>
          <w:u w:val="single"/>
        </w:rPr>
        <w:t xml:space="preserve"> </w:t>
      </w:r>
      <w:r>
        <w:rPr>
          <w:rFonts w:ascii="宋体" w:hAnsi="宋体" w:eastAsia="宋体"/>
          <w:u w:val="single"/>
        </w:rPr>
        <w:t xml:space="preserve">        </w:t>
      </w:r>
      <w:r>
        <w:rPr>
          <w:rFonts w:ascii="宋体" w:hAnsi="宋体" w:eastAsia="宋体"/>
        </w:rPr>
        <w:t>机关对全国人民代表大会负责并报告工作的职责。全国人大是我国最高</w:t>
      </w:r>
      <w:r>
        <w:rPr>
          <w:rFonts w:hint="eastAsia" w:ascii="宋体" w:hAnsi="宋体" w:eastAsia="宋体"/>
          <w:u w:val="single"/>
        </w:rPr>
        <w:t xml:space="preserve"> </w:t>
      </w:r>
      <w:r>
        <w:rPr>
          <w:rFonts w:ascii="宋体" w:hAnsi="宋体" w:eastAsia="宋体"/>
          <w:u w:val="single"/>
        </w:rPr>
        <w:t xml:space="preserve">        </w:t>
      </w:r>
      <w:r>
        <w:rPr>
          <w:rFonts w:ascii="宋体" w:hAnsi="宋体" w:eastAsia="宋体"/>
        </w:rPr>
        <w:t>机关。（4分）</w:t>
      </w:r>
    </w:p>
    <w:p>
      <w:pPr>
        <w:rPr>
          <w:rFonts w:hint="eastAsia" w:ascii="宋体" w:hAnsi="宋体" w:eastAsia="宋体"/>
        </w:rPr>
      </w:pPr>
    </w:p>
    <w:p>
      <w:pPr>
        <w:rPr>
          <w:rFonts w:ascii="宋体" w:hAnsi="宋体" w:eastAsia="宋体"/>
        </w:rPr>
      </w:pPr>
      <w:r>
        <w:rPr>
          <w:rFonts w:ascii="宋体" w:hAnsi="宋体" w:eastAsia="宋体"/>
        </w:rPr>
        <w:t>2.2022年政府工作报告，“稳”被提到了76次。其中，稳步推进、人民生活水平稳步提高、扎实做好“六稳”“六保”工作、强化稳岗扩就业政策落实等关键词屡被提及，除了强调坚持以经济建设为中心的目标，还体现了我国政府</w:t>
      </w:r>
      <w:r>
        <w:rPr>
          <w:rFonts w:hint="eastAsia" w:ascii="宋体" w:hAnsi="宋体" w:eastAsia="宋体"/>
          <w:u w:val="single"/>
        </w:rPr>
        <w:t xml:space="preserve"> </w:t>
      </w:r>
      <w:r>
        <w:rPr>
          <w:rFonts w:ascii="宋体" w:hAnsi="宋体" w:eastAsia="宋体"/>
          <w:u w:val="single"/>
        </w:rPr>
        <w:t xml:space="preserve">          </w:t>
      </w:r>
      <w:r>
        <w:rPr>
          <w:rFonts w:ascii="宋体" w:hAnsi="宋体" w:eastAsia="宋体"/>
        </w:rPr>
        <w:t>的发展思想。（2分）</w:t>
      </w:r>
    </w:p>
    <w:p>
      <w:pPr>
        <w:rPr>
          <w:rFonts w:hint="eastAsia" w:ascii="宋体" w:hAnsi="宋体" w:eastAsia="宋体"/>
        </w:rPr>
      </w:pPr>
    </w:p>
    <w:p>
      <w:pPr>
        <w:rPr>
          <w:rFonts w:ascii="宋体" w:hAnsi="宋体" w:eastAsia="宋体"/>
        </w:rPr>
      </w:pPr>
      <w:r>
        <w:rPr>
          <w:rFonts w:ascii="宋体" w:hAnsi="宋体" w:eastAsia="宋体"/>
        </w:rPr>
        <w:t>3.自2021年双碳被首次写进政府工作报告后，双碳工作便开始全面展开，即：二氧化碳排放力争于2030年达到峰值（碳达峰），努力争取2060年实现碳中和。该报告中对双碳的工作安排是“有序推进碳达峰碳中和工作”“推动能耗‘双控’向碳排放总量和强度‘双控’转变”等。双碳不仅是技术变革，同时包括对生产和消费方式的变革，其不仅涉及到制度、政策方面，也将涉及到行业发展、</w:t>
      </w:r>
      <w:r>
        <w:rPr>
          <w:rFonts w:hint="eastAsia" w:ascii="宋体" w:hAnsi="宋体" w:eastAsia="宋体"/>
        </w:rPr>
        <w:t>金融市场等方面。</w:t>
      </w:r>
    </w:p>
    <w:p>
      <w:pPr>
        <w:rPr>
          <w:rFonts w:hint="eastAsia" w:ascii="宋体" w:hAnsi="宋体" w:eastAsia="宋体"/>
        </w:rPr>
      </w:pPr>
    </w:p>
    <w:p>
      <w:pPr>
        <w:rPr>
          <w:rFonts w:ascii="宋体" w:hAnsi="宋体" w:eastAsia="宋体"/>
        </w:rPr>
      </w:pPr>
      <w:r>
        <w:rPr>
          <w:rFonts w:hint="eastAsia" w:ascii="宋体" w:hAnsi="宋体" w:eastAsia="宋体"/>
        </w:rPr>
        <w:t>请结合上述材料，综合所学内容，从经济发展、科技创新和建设生态文明等角度任选其二，谈谈推进双碳目标对我国的发展有何意义？（</w:t>
      </w:r>
      <w:r>
        <w:rPr>
          <w:rFonts w:ascii="宋体" w:hAnsi="宋体" w:eastAsia="宋体"/>
        </w:rPr>
        <w:t>6分）</w:t>
      </w:r>
    </w:p>
    <w:p>
      <w:pPr>
        <w:rPr>
          <w:rFonts w:ascii="宋体" w:hAnsi="宋体" w:eastAsia="宋体"/>
        </w:rPr>
      </w:pPr>
    </w:p>
    <w:p>
      <w:pPr>
        <w:rPr>
          <w:rFonts w:ascii="宋体" w:hAnsi="宋体" w:eastAsia="宋体"/>
        </w:rPr>
      </w:pPr>
      <w:r>
        <w:rPr>
          <w:rFonts w:hint="eastAsia" w:ascii="宋体" w:hAnsi="宋体" w:eastAsia="宋体"/>
        </w:rPr>
        <w:t>二、时政探究题（本题共</w:t>
      </w:r>
      <w:r>
        <w:rPr>
          <w:rFonts w:ascii="宋体" w:hAnsi="宋体" w:eastAsia="宋体"/>
        </w:rPr>
        <w:t>10分）学校法律社团的小宁同学带领社团成员开展关于未成年人保护的课题研究，他们查阅了2021年12月，国家统计局公布的《中国儿童发展纲要（2011一2020年）》</w:t>
      </w:r>
      <w:r>
        <w:rPr>
          <w:rFonts w:hint="eastAsia" w:ascii="宋体" w:hAnsi="宋体" w:eastAsia="宋体"/>
        </w:rPr>
        <w:t>终期统计监测报告以及</w:t>
      </w:r>
      <w:r>
        <w:rPr>
          <w:rFonts w:ascii="宋体" w:hAnsi="宋体" w:eastAsia="宋体"/>
        </w:rPr>
        <w:t>2021年6月新修订的《中华人民共和国未成年人保护法》，在此基础上又查找到如下数据（数据来源：国家统计局）：</w:t>
      </w:r>
    </w:p>
    <w:p>
      <w:r>
        <w:pict>
          <v:shape id="_x0000_i1025" o:spt="75" type="#_x0000_t75" style="height:193.25pt;width:432.15pt;" filled="f" o:preferrelative="t" stroked="f" coordsize="21600,21600">
            <v:path/>
            <v:fill on="f" focussize="0,0"/>
            <v:stroke on="f" joinstyle="miter"/>
            <v:imagedata r:id="rId7" o:title=""/>
            <o:lock v:ext="edit" aspectratio="t"/>
            <w10:wrap type="none"/>
            <w10:anchorlock/>
          </v:shape>
        </w:pict>
      </w:r>
    </w:p>
    <w:p>
      <w:pPr>
        <w:rPr>
          <w:rFonts w:ascii="宋体" w:hAnsi="宋体" w:eastAsia="宋体"/>
        </w:rPr>
      </w:pPr>
      <w:r>
        <w:rPr>
          <w:rFonts w:ascii="宋体" w:hAnsi="宋体" w:eastAsia="宋体"/>
        </w:rPr>
        <w:t>4.从图1中你可以获得什么结论？获得该结论的材料依据是什么？（4分）</w:t>
      </w:r>
    </w:p>
    <w:p>
      <w:pPr>
        <w:rPr>
          <w:rFonts w:ascii="宋体" w:hAnsi="宋体" w:eastAsia="宋体"/>
        </w:rPr>
      </w:pPr>
      <w:r>
        <w:rPr>
          <w:rFonts w:ascii="宋体" w:hAnsi="宋体" w:eastAsia="宋体"/>
        </w:rPr>
        <w:t>5.小宁和同学们又在网站上搜到了2010年和2020年全国儿童福利和救助保护机构数的数据，他和小组同学坚信中国儿童福利与未成年人保护事业将全面开启高质量发展新征程。结合小宁查找的资料（两份图表），综合运用所学内容说明他们充满信心的理由。（6分）</w:t>
      </w:r>
    </w:p>
    <w:p>
      <w:r>
        <w:pict>
          <v:shape id="_x0000_i1026" o:spt="75" type="#_x0000_t75" style="height:215.2pt;width:398.95pt;" filled="f" o:preferrelative="t" stroked="f" coordsize="21600,21600">
            <v:path/>
            <v:fill on="f" focussize="0,0"/>
            <v:stroke on="f" joinstyle="miter"/>
            <v:imagedata r:id="rId8" o:title=""/>
            <o:lock v:ext="edit" aspectratio="t"/>
            <w10:wrap type="none"/>
            <w10:anchorlock/>
          </v:shape>
        </w:pict>
      </w:r>
    </w:p>
    <w:p>
      <w:pPr>
        <w:rPr>
          <w:rFonts w:ascii="宋体" w:hAnsi="宋体" w:eastAsia="宋体"/>
        </w:rPr>
      </w:pPr>
      <w:r>
        <w:rPr>
          <w:rFonts w:hint="eastAsia" w:ascii="宋体" w:hAnsi="宋体" w:eastAsia="宋体"/>
        </w:rPr>
        <w:t>三、案例分析题（本题共</w:t>
      </w:r>
      <w:r>
        <w:rPr>
          <w:rFonts w:ascii="宋体" w:hAnsi="宋体" w:eastAsia="宋体"/>
        </w:rPr>
        <w:t>8分）</w:t>
      </w:r>
    </w:p>
    <w:p>
      <w:pPr>
        <w:ind w:firstLine="420" w:firstLineChars="200"/>
        <w:rPr>
          <w:rFonts w:ascii="宋体" w:hAnsi="宋体" w:eastAsia="宋体"/>
        </w:rPr>
      </w:pPr>
      <w:r>
        <w:rPr>
          <w:rFonts w:ascii="宋体" w:hAnsi="宋体" w:eastAsia="宋体"/>
        </w:rPr>
        <w:t>在中国航天事业史上，10月16日是个特殊的日子。1964年10月16日，中国第一颗原子弹爆炸成功：2003年10月16日，中国首次载人航天飞行圆满成功，航天员杨利伟安全着陆，中国成为世界上第三个有能力将航天员送上太空的国家：2021年10月16日，神舟十三号载人飞船的发射升空又将在载人航天史上留下新的印记。</w:t>
      </w:r>
      <w:r>
        <w:rPr>
          <w:rFonts w:hint="eastAsia" w:ascii="宋体" w:hAnsi="宋体" w:eastAsia="宋体"/>
        </w:rPr>
        <w:t>沧桑巨变里，是一个民族奋发图强、奋起直追的步伐。探索浩瀚宇宙，是梦想的远航，也是创新的跋涉。伟大的历史足迹背后，凝结着中国航天人的汗水和智慧。中国在航天科技领域捷报频传，使得许多孩子成为了“航天迷”。</w:t>
      </w:r>
      <w:r>
        <w:rPr>
          <w:rFonts w:ascii="宋体" w:hAnsi="宋体" w:eastAsia="宋体"/>
        </w:rPr>
        <w:t>3月份的“天宫课堂”</w:t>
      </w:r>
      <w:r>
        <w:rPr>
          <w:rFonts w:hint="eastAsia" w:ascii="宋体" w:hAnsi="宋体" w:eastAsia="宋体"/>
        </w:rPr>
        <w:t>更是如约而至，我国航天员在九天之上向大家演示了精心设计的科学实验，激发了全国青少年朋友探求科学规律、探索宇宙奥秘的热情。</w:t>
      </w:r>
    </w:p>
    <w:p>
      <w:pPr>
        <w:ind w:firstLine="420" w:firstLineChars="200"/>
        <w:rPr>
          <w:rFonts w:hint="eastAsia" w:ascii="宋体" w:hAnsi="宋体" w:eastAsia="宋体"/>
        </w:rPr>
      </w:pPr>
    </w:p>
    <w:p>
      <w:r>
        <w:rPr>
          <w:rFonts w:ascii="宋体" w:hAnsi="宋体" w:eastAsia="宋体"/>
        </w:rPr>
        <w:t>6你愿意参与“天宫课堂”等航天科技普及活动吗？请你结合以上材料，综合运用所学阐述你的理由。（8分）</w:t>
      </w:r>
    </w:p>
    <w:sectPr>
      <w:headerReference r:id="rId3" w:type="default"/>
      <w:footerReference r:id="rId4" w:type="default"/>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0B734955"/>
    <w:rsid w:val="76160BC1"/>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5">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qFormat/>
    <w:uiPriority w:val="22"/>
    <w:rPr>
      <w:b/>
      <w:bCs/>
    </w:rPr>
  </w:style>
  <w:style w:type="character" w:styleId="7">
    <w:name w:val="Hyperlink"/>
    <w:unhideWhenUsed/>
    <w:uiPriority w:val="99"/>
    <w:rPr>
      <w:color w:val="0563C1"/>
      <w:u w:val="single"/>
    </w:rPr>
  </w:style>
  <w:style w:type="character" w:customStyle="1" w:styleId="9">
    <w:name w:val="页眉 字符"/>
    <w:link w:val="3"/>
    <w:uiPriority w:val="99"/>
    <w:rPr>
      <w:kern w:val="2"/>
      <w:sz w:val="18"/>
      <w:szCs w:val="18"/>
    </w:rPr>
  </w:style>
  <w:style w:type="character" w:customStyle="1" w:styleId="10">
    <w:name w:val="页脚 字符"/>
    <w:link w:val="2"/>
    <w:uiPriority w:val="99"/>
    <w:rPr>
      <w:kern w:val="2"/>
      <w:sz w:val="18"/>
      <w:szCs w:val="18"/>
    </w:rPr>
  </w:style>
  <w:style w:type="character" w:customStyle="1" w:styleId="11">
    <w:name w:val="未处理的提及"/>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5919;&#27835;\2022&#24180;&#19978;&#28023;&#24066;&#23453;&#23665;&#21306;&#20013;&#32771;&#20108;&#27169;&#36947;&#24503;&#19982;&#27861;&#27835;&#35797;&#21367;.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2022年上海市宝山区中考二模道德与法治试卷.docx</Template>
  <Company>二一教育</Company>
  <Pages>2</Pages>
  <Words>1328</Words>
  <Characters>1398</Characters>
  <Lines>10</Lines>
  <Paragraphs>2</Paragraphs>
  <TotalTime>8</TotalTime>
  <ScaleCrop>false</ScaleCrop>
  <LinksUpToDate>false</LinksUpToDate>
  <CharactersWithSpaces>1427</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2022-04-30T07:06:00Z</dcterms:created>
  <dc:creator>21cnjy.com</dc:creator>
  <cp:keywords>21</cp:keywords>
  <cp:lastModifiedBy>Administrator</cp:lastModifiedBy>
  <dcterms:modified xsi:type="dcterms:W3CDTF">2022-04-30T07:17:04Z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