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hint="eastAsia"/>
          <w:sz w:val="24"/>
          <w:szCs w:val="32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12522200</wp:posOffset>
            </wp:positionH>
            <wp:positionV relativeFrom="topMargin">
              <wp:posOffset>11341100</wp:posOffset>
            </wp:positionV>
            <wp:extent cx="355600" cy="292100"/>
            <wp:effectExtent l="0" t="0" r="0" b="0"/>
            <wp:wrapNone/>
            <wp:docPr id="1027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5600" cy="2921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ascii="宋体" w:cs="宋体" w:eastAsia="宋体" w:hAnsi="宋体" w:hint="eastAsia"/>
          <w:b/>
          <w:bCs/>
          <w:color w:val="000000"/>
          <w:kern w:val="0"/>
          <w:sz w:val="28"/>
          <w:szCs w:val="28"/>
          <w:lang w:val="en-US" w:eastAsia="zh-CN"/>
        </w:rPr>
        <w:t xml:space="preserve">二○二二年初中学业水平第三次模拟训练 </w:t>
      </w:r>
    </w:p>
    <w:p>
      <w:pPr>
        <w:pStyle w:val="style0"/>
        <w:keepNext w:val="false"/>
        <w:keepLines w:val="false"/>
        <w:widowControl/>
        <w:suppressLineNumbers w:val="false"/>
        <w:ind w:firstLine="2150" w:firstLineChars="500"/>
        <w:jc w:val="left"/>
        <w:rPr/>
      </w:pPr>
      <w:r>
        <w:rPr>
          <w:rFonts w:ascii="黑体" w:cs="黑体" w:eastAsia="黑体" w:hAnsi="宋体"/>
          <w:b/>
          <w:bCs/>
          <w:color w:val="000000"/>
          <w:kern w:val="0"/>
          <w:sz w:val="43"/>
          <w:szCs w:val="43"/>
          <w:lang w:val="en-US" w:eastAsia="zh-CN"/>
        </w:rPr>
        <w:t xml:space="preserve">历史参考答案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b/>
          <w:bCs/>
          <w:color w:val="000000"/>
          <w:kern w:val="0"/>
          <w:sz w:val="20"/>
          <w:szCs w:val="20"/>
          <w:lang w:val="en-US" w:eastAsia="zh-CN"/>
        </w:rPr>
        <w:t xml:space="preserve">一、单项选择题：（本大题共 20 小题，每小题 1 分，共 20 分） 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446"/>
        <w:gridCol w:w="341"/>
        <w:gridCol w:w="357"/>
        <w:gridCol w:w="358"/>
        <w:gridCol w:w="342"/>
        <w:gridCol w:w="339"/>
        <w:gridCol w:w="339"/>
        <w:gridCol w:w="358"/>
        <w:gridCol w:w="342"/>
        <w:gridCol w:w="339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</w:tblGrid>
      <w:tr>
        <w:trPr>
          <w:trHeight w:val="502" w:hRule="atLeast"/>
        </w:trPr>
        <w:tc>
          <w:tcPr>
            <w:tcW w:w="446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eastAsia="宋体"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题号</w:t>
            </w:r>
          </w:p>
        </w:tc>
        <w:tc>
          <w:tcPr>
            <w:tcW w:w="34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57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58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42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39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39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58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342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339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</w:t>
            </w:r>
          </w:p>
        </w:tc>
      </w:tr>
      <w:tr>
        <w:tblPrEx/>
        <w:trPr/>
        <w:tc>
          <w:tcPr>
            <w:tcW w:w="446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答案</w:t>
            </w:r>
          </w:p>
        </w:tc>
        <w:tc>
          <w:tcPr>
            <w:tcW w:w="34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357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358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342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339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339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358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342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339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451" w:type="dxa"/>
            <w:tcBorders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</w:tr>
    </w:tbl>
    <w:p>
      <w:pPr>
        <w:pStyle w:val="style0"/>
        <w:keepNext w:val="false"/>
        <w:keepLines w:val="false"/>
        <w:widowControl/>
        <w:suppressLineNumbers w:val="false"/>
        <w:jc w:val="left"/>
        <w:rPr>
          <w:rFonts w:hint="default"/>
          <w:sz w:val="24"/>
          <w:szCs w:val="32"/>
          <w:lang w:val="en-US" w:eastAsia="zh-CN"/>
        </w:rPr>
      </w:pPr>
    </w:p>
    <w:p>
      <w:pPr>
        <w:pStyle w:val="style0"/>
        <w:numPr>
          <w:ilvl w:val="0"/>
          <w:numId w:val="0"/>
        </w:numPr>
        <w:shd w:val="clear" w:color="auto" w:fill="ffffff"/>
        <w:ind w:firstLine="480"/>
        <w:rPr>
          <w:rFonts w:hint="default"/>
          <w:sz w:val="24"/>
          <w:szCs w:val="32"/>
          <w:lang w:val="en-US" w:eastAsia="zh-CN"/>
        </w:rPr>
      </w:pP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b/>
          <w:bCs/>
          <w:color w:val="000000"/>
          <w:kern w:val="0"/>
          <w:sz w:val="20"/>
          <w:szCs w:val="20"/>
          <w:lang w:val="en-US" w:eastAsia="zh-CN"/>
        </w:rPr>
        <w:t xml:space="preserve">二、非选择题：（21、22、23 题均为 10 分，共 30 分）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21.（1）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（励精图治）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吏治清廉，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（沉湎享乐）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吏治腐败（顺序颠倒不给分，2 分） “文景之治”、“光武中兴”、 </w:t>
      </w:r>
      <w:r>
        <w:rPr>
          <w:rFonts w:ascii="宋体" w:cs="宋体" w:eastAsia="宋体" w:hAnsi="宋体" w:hint="default"/>
          <w:color w:val="ff0000"/>
          <w:kern w:val="0"/>
          <w:sz w:val="20"/>
          <w:szCs w:val="20"/>
          <w:lang w:val="en-US" w:eastAsia="zh-CN"/>
        </w:rPr>
        <w:t>“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开皇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之治</w:t>
      </w:r>
      <w:r>
        <w:rPr>
          <w:rFonts w:ascii="宋体" w:cs="宋体" w:eastAsia="宋体" w:hAnsi="宋体" w:hint="default"/>
          <w:color w:val="ff0000"/>
          <w:kern w:val="0"/>
          <w:sz w:val="20"/>
          <w:szCs w:val="20"/>
          <w:lang w:val="en-US" w:eastAsia="zh-CN"/>
        </w:rPr>
        <w:t>”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“贞观之治”、“开元盛世”“康乾盛世”（写出任意两个，2 分）；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（2）存百姓（民本思想或以民为本）（2 分）减轻人民的劳役负担（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轻徭薄赋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），鼓励发展农业生 产（1 分）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>
          <w:rFonts w:hint="default"/>
          <w:lang w:val="en-US"/>
        </w:rPr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（3）市舶司（2 分） 商业发达；政府谋求广开财源；中西陆路交通几乎断绝（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政府鼓励海外贸易，指南针用于航海、造船业发达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）（任 一点即可，1分）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22.（1）甲午中日战争（1 分） 日本侵华战争（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答抗日战争不给分：把两次侵华战争名字答反不给分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） （1分）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（2）无产阶级（或工人阶级）（2 分） 外争主权，内除国贼（2 分）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>
          <w:color w:val="ff0000"/>
        </w:rPr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（3）社会主义市场经济体制（2 分） 香港回归祖国、澳门回归祖国（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 xml:space="preserve">答香港、澳门回归祖国也可以满分，每项得1分，共 2 分） </w:t>
      </w:r>
    </w:p>
    <w:p>
      <w:pPr>
        <w:pStyle w:val="style0"/>
        <w:keepNext w:val="false"/>
        <w:keepLines w:val="false"/>
        <w:widowControl/>
        <w:numPr>
          <w:ilvl w:val="0"/>
          <w:numId w:val="1"/>
        </w:numPr>
        <w:suppressLineNumbers w:val="false"/>
        <w:jc w:val="left"/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（1）《凡尔赛条约》（1 分）《九国公约》（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不写书名号没有分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1 分）凡尔赛--华盛顿体系（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只答凡尔赛体系或者华盛顿体系没有分，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1 分） </w:t>
      </w:r>
    </w:p>
    <w:p>
      <w:pPr>
        <w:pStyle w:val="style0"/>
        <w:keepNext w:val="false"/>
        <w:keepLines w:val="false"/>
        <w:widowControl/>
        <w:numPr>
          <w:ilvl w:val="0"/>
          <w:numId w:val="0"/>
        </w:numPr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（2）美国：建立“维护美国的领导地位”为“首要原则”的国际新秩序；（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“维护美国的领导地位”</w:t>
      </w: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）（1 分）日 本：谋求政治大国的地位；（1 分）欧盟：摆脱对美国的依赖，在国际事务中发挥重要作 用。（1 分）多极化趋势（</w:t>
      </w:r>
      <w:r>
        <w:rPr>
          <w:rFonts w:ascii="宋体" w:cs="宋体" w:eastAsia="宋体" w:hAnsi="宋体" w:hint="eastAsia"/>
          <w:color w:val="ff0000"/>
          <w:kern w:val="0"/>
          <w:sz w:val="20"/>
          <w:szCs w:val="20"/>
          <w:lang w:val="en-US" w:eastAsia="zh-CN"/>
        </w:rPr>
        <w:t>答一超多强不给分，</w:t>
      </w:r>
      <w:bookmarkStart w:id="0" w:name="_GoBack"/>
      <w:bookmarkEnd w:id="0"/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1 分）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 xml:space="preserve">（3）霸权主义（强权政治）（1 分） </w:t>
      </w:r>
    </w:p>
    <w:p>
      <w:pPr>
        <w:pStyle w:val="style0"/>
        <w:keepNext w:val="false"/>
        <w:keepLines w:val="false"/>
        <w:widowControl/>
        <w:suppressLineNumbers w:val="false"/>
        <w:jc w:val="left"/>
        <w:rPr/>
      </w:pPr>
      <w:r>
        <w:rPr>
          <w:rFonts w:ascii="宋体" w:cs="宋体" w:eastAsia="宋体" w:hAnsi="宋体" w:hint="eastAsia"/>
          <w:color w:val="000000"/>
          <w:kern w:val="0"/>
          <w:sz w:val="20"/>
          <w:szCs w:val="20"/>
          <w:lang w:val="en-US" w:eastAsia="zh-CN"/>
        </w:rPr>
        <w:t>（4）扩大合作、共同发展（1 分）建立公正合理的国际新秩序（1 分</w:t>
      </w:r>
    </w:p>
    <w:p>
      <w:pPr>
        <w:pStyle w:val="style0"/>
        <w:numPr>
          <w:ilvl w:val="0"/>
          <w:numId w:val="0"/>
        </w:numPr>
        <w:shd w:val="clear" w:color="auto" w:fill="ffffff"/>
        <w:ind w:firstLine="480"/>
        <w:rPr>
          <w:rFonts w:hint="default"/>
          <w:sz w:val="24"/>
          <w:szCs w:val="32"/>
          <w:lang w:val="en-US" w:eastAsia="zh-CN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2609638C"/>
    <w:lvl w:ilvl="0">
      <w:start w:val="23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displayBackgroundShape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94">
    <w:name w:val="Normal (Web)"/>
    <w:basedOn w:val="style0"/>
    <w:next w:val="style94"/>
    <w:qFormat/>
    <w:pPr/>
    <w:rPr>
      <w:sz w:val="24"/>
    </w:rPr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685</Words>
  <Pages>2</Pages>
  <Characters>708</Characters>
  <Application>WPS Office</Application>
  <DocSecurity>0</DocSecurity>
  <Paragraphs>66</Paragraphs>
  <ScaleCrop>false</ScaleCrop>
  <LinksUpToDate>false</LinksUpToDate>
  <CharactersWithSpaces>775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2022-05-19T06:49:03Z</dcterms:created>
  <dc:creator>Administrator</dc:creator>
  <lastModifiedBy>KNT-AL10</lastModifiedBy>
  <dcterms:modified xsi:type="dcterms:W3CDTF">2022-05-19T06:49:04Z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991ec2d953fe43268f7bd10801a5d268</vt:lpwstr>
  </property>
</Properties>
</file>