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11366500</wp:posOffset>
            </wp:positionV>
            <wp:extent cx="495300" cy="3175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部编版语文七年级上册第三单元提升练习（全国通用）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1．《从百草园到三味书屋》回忆了儿时的“我”在书屋读书的情形，下面《朝花夕拾》的作品中，哪两篇也写到了儿童读书的事？（</w:t>
      </w:r>
      <w:r>
        <w:rPr>
          <w:rFonts w:ascii="'Times New Roman'" w:hAnsi="'Times New Roman'" w:eastAsia="'Times New Roman'" w:cs="'Times New Roman'"/>
        </w:rPr>
        <w:t>     </w:t>
      </w:r>
      <w:r>
        <w:t>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A．《无常》</w:t>
      </w:r>
      <w:r>
        <w:tab/>
      </w:r>
      <w:r>
        <w:t>B．《五猖会》</w:t>
      </w:r>
      <w:r>
        <w:tab/>
      </w:r>
      <w:r>
        <w:t>C．《二十四孝图》</w:t>
      </w:r>
      <w:r>
        <w:tab/>
      </w:r>
      <w:r>
        <w:t>D．《父亲的病》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2．根据阅读积累，选择与下列四部名著相对应的评论（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（1）《朝花夕拾》（2）《红星照耀中国》（3）《钢铁是怎样炼成的》（4）《傅雷家书》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a．且不说主人公的形象如何鲜明、生动、丰满和具有强烈的艺术感染力，仅是他的一段对人生价值的思考，就影响了多少人的生活。</w:t>
      </w:r>
      <w:r>
        <w:t>——黎汝清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b．他力图还原真相，没有戴上有色眼镜，更没有刻意过滤，从而保存了历史的真实与丰满，是那种有质感的真实与丰满。</w:t>
      </w:r>
      <w:r>
        <w:t>——温儒敏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c．写人记事均于平淡质朴的笔墨间蕴藉着深邃的思想，而且在对旧日情怀的回顾时，还常常发表议论，抒发对某些现状的不满之情。</w:t>
      </w:r>
      <w:r>
        <w:t>——柳斌杰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d．这是一部最好的艺术学徒修养读物，这也是一部充满着父爱的苦心孤诣、呕心沥血的教子篇。</w:t>
      </w:r>
      <w:r>
        <w:t>——楼适夷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A．d a c b</w:t>
      </w:r>
      <w:r>
        <w:tab/>
      </w:r>
      <w:r>
        <w:t>B．a b c d</w:t>
      </w:r>
      <w:r>
        <w:tab/>
      </w:r>
      <w:r>
        <w:t>C．d b a c</w:t>
      </w:r>
      <w:r>
        <w:tab/>
      </w:r>
      <w:r>
        <w:t>D．c b a d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3．【诵美文，歌赞家乡】</w:t>
      </w:r>
    </w:p>
    <w:p>
      <w:pPr>
        <w:shd w:val="clear" w:color="auto" w:fill="auto"/>
        <w:spacing w:line="240" w:lineRule="auto"/>
        <w:jc w:val="left"/>
        <w:textAlignment w:val="center"/>
      </w:pPr>
      <w:r>
        <w:t>在下面这段文字的横线处填入语句，衔接恰当的一项是（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富春江昔日为杭州至严州、金华的通航要道，船至桐庐七里泷，因滩多流急，航行需借风力或人工拉纤而行。</w:t>
      </w:r>
      <w:r>
        <w:rPr>
          <w:rFonts w:ascii="楷体" w:hAnsi="楷体" w:eastAsia="楷体" w:cs="楷体"/>
          <w:u w:val="single"/>
        </w:rPr>
        <w:t xml:space="preserve">            </w:t>
      </w:r>
      <w:r>
        <w:rPr>
          <w:rFonts w:ascii="楷体" w:hAnsi="楷体" w:eastAsia="楷体" w:cs="楷体"/>
        </w:rPr>
        <w:t>。如今，因富春江水库的修建，这一带水深江阔，碧波粼粼，两岸群峰壁立。当地在此开发了“七里扬帆”的旅游项目。一叶扁舟，点点白帆，穿行在如诗如画的江面上，还有谁人不陶醉!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①古语说“七里滩头，有风七里，无风七十里”，“七里扬帆”由此得名。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②旧时舟楫经过都要在钓台下游等候东风。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③倘若无风，得靠人工拉纤，显得路途遥远，仿佛七十里。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④东风一起，千帆竞发，艄公号子响彻云霄，长滩瞬息可过，仿佛仅七里。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A．①④③②</w:t>
      </w:r>
      <w:r>
        <w:tab/>
      </w:r>
      <w:r>
        <w:t>B．①②④③</w:t>
      </w:r>
      <w:r>
        <w:tab/>
      </w:r>
      <w:r>
        <w:t>C．②④③①</w:t>
      </w:r>
      <w:r>
        <w:tab/>
      </w:r>
      <w:r>
        <w:t>D．②③①④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4．从题材上看，下列诗歌与下图古诗相同的一项是（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676400" cy="1352550"/>
            <wp:effectExtent l="0" t="0" r="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A．孟浩然《过故人庄》</w:t>
      </w:r>
      <w:r>
        <w:tab/>
      </w:r>
      <w:r>
        <w:t>B．杜甫《江南逢李龟年》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C．陶渊明《饮酒（其五）》</w:t>
      </w:r>
      <w:r>
        <w:tab/>
      </w:r>
      <w:r>
        <w:t>D．李益《夜上受降城闻笛》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5．下列句子中，没有语病的一项是（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A．美国军舰擅自闯入中国海域，我方对其识别查证，并予以警告驱离。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B．钙质可从食物中摄取，只有人们注重食物的合理搭配，就能获得相应的钙质。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C．为了提高传统优秀文化特色，学校举办了“寻找家乡名人名画”的活动。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D．性格懦弱的李娟的母亲，面对突如其来的家庭变故，表现出了异常的坚韧。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6．请阅读下面文字，完成以下问题。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【材料一】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不必说碧绿的（　　），光滑的石井栏，高大的皂荚树，紫红的（　　）；也不必说鸣蝉在树叶里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，肥胖的黄蜂伏在菜花上，（　　）的叫天子（云雀）忽然从草间直窜向（　　）里去了。①油蛉在这里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，蟋蟀们在这里弹琴。②翻开断砖来，有时会遇见蜈蚣；还有斑蝥，倘若用手指按住它的脊梁，便会拍的一声，从后窍喷出一阵烟雾。③何首乌藤和木莲藤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着，木莲有莲房一般的果实，何首乌有拥肿的根。有人说，何首乌根是有像人形的，吃了便可以成仙，我于是常常拔它起来，牵连不断地拔起来，也曾因此弄坏了泥墙，却从来没有见过有一块根像人样。④如果不怕刺，还可以摘到覆盆子，像小珊瑚珠攒成的小球，又酸又甜，色味都比桑椹要好得远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（选自《从百草园到三味书屋》）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【材料二】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有人童年受到呵护，也尝到各种酸甜苦辣的色彩；有人童年单纯可爱，可身上也留下了社会的印记；有人童年</w:t>
      </w:r>
      <w:r>
        <w:rPr>
          <w:rFonts w:ascii="楷体" w:hAnsi="楷体" w:eastAsia="楷体" w:cs="楷体"/>
          <w:u w:val="single"/>
        </w:rPr>
        <w:t xml:space="preserve">          </w:t>
      </w:r>
      <w:r>
        <w:rPr>
          <w:rFonts w:ascii="楷体" w:hAnsi="楷体" w:eastAsia="楷体" w:cs="楷体"/>
        </w:rPr>
        <w:t>，却表现出了未来的某些个性……童年的生活和感受既是深藏在心中的无尽宝藏，也是生命长河不竭的源泉。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(1)依次填入文本括号中的词语，字形和读音都正确的一项是（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A．菜</w:t>
      </w:r>
      <w:r>
        <w:rPr>
          <w:u w:val="none"/>
          <w:em w:val="dot"/>
        </w:rPr>
        <w:t>畦</w:t>
      </w:r>
      <w:r>
        <w:t>（wā）</w:t>
      </w:r>
      <w:r>
        <w:rPr>
          <w:rFonts w:ascii="'Times New Roman'" w:hAnsi="'Times New Roman'" w:eastAsia="'Times New Roman'" w:cs="'Times New Roman'"/>
        </w:rPr>
        <w:t>     </w:t>
      </w:r>
      <w:r>
        <w:t>桑</w:t>
      </w:r>
      <w:r>
        <w:rPr>
          <w:u w:val="none"/>
          <w:em w:val="dot"/>
        </w:rPr>
        <w:t>葚</w:t>
      </w:r>
      <w:r>
        <w:t>（shèn）</w:t>
      </w:r>
      <w:r>
        <w:rPr>
          <w:rFonts w:ascii="'Times New Roman'" w:hAnsi="'Times New Roman'" w:eastAsia="'Times New Roman'" w:cs="'Times New Roman'"/>
        </w:rPr>
        <w:t>     </w:t>
      </w:r>
      <w:r>
        <w:t>轻</w:t>
      </w:r>
      <w:r>
        <w:rPr>
          <w:u w:val="none"/>
          <w:em w:val="dot"/>
        </w:rPr>
        <w:t>捷</w:t>
      </w:r>
      <w:r>
        <w:t>（jiě）</w:t>
      </w:r>
      <w:r>
        <w:rPr>
          <w:rFonts w:ascii="'Times New Roman'" w:hAnsi="'Times New Roman'" w:eastAsia="'Times New Roman'" w:cs="'Times New Roman'"/>
        </w:rPr>
        <w:t>     </w:t>
      </w:r>
      <w:r>
        <w:t>云</w:t>
      </w:r>
      <w:r>
        <w:rPr>
          <w:u w:val="none"/>
          <w:em w:val="dot"/>
        </w:rPr>
        <w:t>霄</w:t>
      </w:r>
      <w:r>
        <w:t>（xiào）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B．菜</w:t>
      </w:r>
      <w:r>
        <w:rPr>
          <w:u w:val="none"/>
          <w:em w:val="dot"/>
        </w:rPr>
        <w:t>畦</w:t>
      </w:r>
      <w:r>
        <w:t>（qí）</w:t>
      </w:r>
      <w:r>
        <w:rPr>
          <w:rFonts w:ascii="'Times New Roman'" w:hAnsi="'Times New Roman'" w:eastAsia="'Times New Roman'" w:cs="'Times New Roman'"/>
        </w:rPr>
        <w:t>       </w:t>
      </w:r>
      <w:r>
        <w:t>桑</w:t>
      </w:r>
      <w:r>
        <w:rPr>
          <w:u w:val="none"/>
          <w:em w:val="dot"/>
        </w:rPr>
        <w:t>葚</w:t>
      </w:r>
      <w:r>
        <w:t>（shèn）</w:t>
      </w:r>
      <w:r>
        <w:rPr>
          <w:rFonts w:ascii="'Times New Roman'" w:hAnsi="'Times New Roman'" w:eastAsia="'Times New Roman'" w:cs="'Times New Roman'"/>
        </w:rPr>
        <w:t>     </w:t>
      </w:r>
      <w:r>
        <w:t>轻</w:t>
      </w:r>
      <w:r>
        <w:rPr>
          <w:u w:val="none"/>
          <w:em w:val="dot"/>
        </w:rPr>
        <w:t>捷</w:t>
      </w:r>
      <w:r>
        <w:t>（jié）</w:t>
      </w:r>
      <w:r>
        <w:rPr>
          <w:rFonts w:ascii="'Times New Roman'" w:hAnsi="'Times New Roman'" w:eastAsia="'Times New Roman'" w:cs="'Times New Roman'"/>
        </w:rPr>
        <w:t>     </w:t>
      </w:r>
      <w:r>
        <w:t>云</w:t>
      </w:r>
      <w:r>
        <w:rPr>
          <w:u w:val="none"/>
          <w:em w:val="dot"/>
        </w:rPr>
        <w:t>霄</w:t>
      </w:r>
      <w:r>
        <w:t>（xiāo）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C．菜</w:t>
      </w:r>
      <w:r>
        <w:rPr>
          <w:u w:val="none"/>
          <w:em w:val="dot"/>
        </w:rPr>
        <w:t>洼</w:t>
      </w:r>
      <w:r>
        <w:t>（wā）</w:t>
      </w:r>
      <w:r>
        <w:rPr>
          <w:rFonts w:ascii="'Times New Roman'" w:hAnsi="'Times New Roman'" w:eastAsia="'Times New Roman'" w:cs="'Times New Roman'"/>
        </w:rPr>
        <w:t>     </w:t>
      </w:r>
      <w:r>
        <w:t>桑</w:t>
      </w:r>
      <w:r>
        <w:rPr>
          <w:u w:val="none"/>
          <w:em w:val="dot"/>
        </w:rPr>
        <w:t>葚</w:t>
      </w:r>
      <w:r>
        <w:t>（shèn）</w:t>
      </w:r>
      <w:r>
        <w:rPr>
          <w:rFonts w:ascii="'Times New Roman'" w:hAnsi="'Times New Roman'" w:eastAsia="'Times New Roman'" w:cs="'Times New Roman'"/>
        </w:rPr>
        <w:t>     </w:t>
      </w:r>
      <w:r>
        <w:t>轻</w:t>
      </w:r>
      <w:r>
        <w:rPr>
          <w:u w:val="none"/>
          <w:em w:val="dot"/>
        </w:rPr>
        <w:t>倢</w:t>
      </w:r>
      <w:r>
        <w:t>（jié）</w:t>
      </w:r>
      <w:r>
        <w:rPr>
          <w:rFonts w:ascii="'Times New Roman'" w:hAnsi="'Times New Roman'" w:eastAsia="'Times New Roman'" w:cs="'Times New Roman'"/>
        </w:rPr>
        <w:t>     </w:t>
      </w:r>
      <w:r>
        <w:t>云</w:t>
      </w:r>
      <w:r>
        <w:rPr>
          <w:u w:val="none"/>
          <w:em w:val="dot"/>
        </w:rPr>
        <w:t>宵</w:t>
      </w:r>
      <w:r>
        <w:t>（xiào）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D．菜</w:t>
      </w:r>
      <w:r>
        <w:rPr>
          <w:u w:val="none"/>
          <w:em w:val="dot"/>
        </w:rPr>
        <w:t>洼</w:t>
      </w:r>
      <w:r>
        <w:t>（qí）</w:t>
      </w:r>
      <w:r>
        <w:rPr>
          <w:rFonts w:ascii="'Times New Roman'" w:hAnsi="'Times New Roman'" w:eastAsia="'Times New Roman'" w:cs="'Times New Roman'"/>
        </w:rPr>
        <w:t>       </w:t>
      </w:r>
      <w:r>
        <w:t>桑</w:t>
      </w:r>
      <w:r>
        <w:rPr>
          <w:u w:val="none"/>
          <w:em w:val="dot"/>
        </w:rPr>
        <w:t>葚</w:t>
      </w:r>
      <w:r>
        <w:t>（shèn）</w:t>
      </w:r>
      <w:r>
        <w:rPr>
          <w:rFonts w:ascii="'Times New Roman'" w:hAnsi="'Times New Roman'" w:eastAsia="'Times New Roman'" w:cs="'Times New Roman'"/>
        </w:rPr>
        <w:t>     </w:t>
      </w:r>
      <w:r>
        <w:t>轻</w:t>
      </w:r>
      <w:r>
        <w:rPr>
          <w:u w:val="none"/>
          <w:em w:val="dot"/>
        </w:rPr>
        <w:t>倢</w:t>
      </w:r>
      <w:r>
        <w:t>（jiě）</w:t>
      </w:r>
      <w:r>
        <w:rPr>
          <w:rFonts w:ascii="'Times New Roman'" w:hAnsi="'Times New Roman'" w:eastAsia="'Times New Roman'" w:cs="'Times New Roman'"/>
        </w:rPr>
        <w:t>     </w:t>
      </w:r>
      <w:r>
        <w:t>云</w:t>
      </w:r>
      <w:r>
        <w:rPr>
          <w:u w:val="none"/>
          <w:em w:val="dot"/>
        </w:rPr>
        <w:t>宵</w:t>
      </w:r>
      <w:r>
        <w:t>（xiāo）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(2)依次填入文本中画横线处，最恰当的一组词语是（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A．长吟</w:t>
      </w:r>
      <w:r>
        <w:rPr>
          <w:rFonts w:ascii="'Times New Roman'" w:hAnsi="'Times New Roman'" w:eastAsia="'Times New Roman'" w:cs="'Times New Roman'"/>
        </w:rPr>
        <w:t>       </w:t>
      </w:r>
      <w:r>
        <w:t>低唱</w:t>
      </w:r>
      <w:r>
        <w:rPr>
          <w:rFonts w:ascii="'Times New Roman'" w:hAnsi="'Times New Roman'" w:eastAsia="'Times New Roman'" w:cs="'Times New Roman'"/>
        </w:rPr>
        <w:t>       </w:t>
      </w:r>
      <w:r>
        <w:t>缠络</w:t>
      </w:r>
      <w:r>
        <w:rPr>
          <w:rFonts w:ascii="'Times New Roman'" w:hAnsi="'Times New Roman'" w:eastAsia="'Times New Roman'" w:cs="'Times New Roman'"/>
        </w:rPr>
        <w:t>       </w:t>
      </w:r>
      <w:r>
        <w:t>远未定型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B．长鸣</w:t>
      </w:r>
      <w:r>
        <w:rPr>
          <w:rFonts w:ascii="'Times New Roman'" w:hAnsi="'Times New Roman'" w:eastAsia="'Times New Roman'" w:cs="'Times New Roman'"/>
        </w:rPr>
        <w:t>       </w:t>
      </w:r>
      <w:r>
        <w:t>歌唱</w:t>
      </w:r>
      <w:r>
        <w:rPr>
          <w:rFonts w:ascii="'Times New Roman'" w:hAnsi="'Times New Roman'" w:eastAsia="'Times New Roman'" w:cs="'Times New Roman'"/>
        </w:rPr>
        <w:t>       </w:t>
      </w:r>
      <w:r>
        <w:t>缠绕</w:t>
      </w:r>
      <w:r>
        <w:rPr>
          <w:rFonts w:ascii="'Times New Roman'" w:hAnsi="'Times New Roman'" w:eastAsia="'Times New Roman'" w:cs="'Times New Roman'"/>
        </w:rPr>
        <w:t>       </w:t>
      </w:r>
      <w:r>
        <w:t>远未定形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C．长鸣</w:t>
      </w:r>
      <w:r>
        <w:rPr>
          <w:rFonts w:ascii="'Times New Roman'" w:hAnsi="'Times New Roman'" w:eastAsia="'Times New Roman'" w:cs="'Times New Roman'"/>
        </w:rPr>
        <w:t>       </w:t>
      </w:r>
      <w:r>
        <w:t>歌唱</w:t>
      </w:r>
      <w:r>
        <w:rPr>
          <w:rFonts w:ascii="'Times New Roman'" w:hAnsi="'Times New Roman'" w:eastAsia="'Times New Roman'" w:cs="'Times New Roman'"/>
        </w:rPr>
        <w:t>       </w:t>
      </w:r>
      <w:r>
        <w:t>缠络</w:t>
      </w:r>
      <w:r>
        <w:rPr>
          <w:rFonts w:ascii="'Times New Roman'" w:hAnsi="'Times New Roman'" w:eastAsia="'Times New Roman'" w:cs="'Times New Roman'"/>
        </w:rPr>
        <w:t>       </w:t>
      </w:r>
      <w:r>
        <w:t>远未定型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D．长吟</w:t>
      </w:r>
      <w:r>
        <w:rPr>
          <w:rFonts w:ascii="'Times New Roman'" w:hAnsi="'Times New Roman'" w:eastAsia="'Times New Roman'" w:cs="'Times New Roman'"/>
        </w:rPr>
        <w:t>       </w:t>
      </w:r>
      <w:r>
        <w:t>低唱</w:t>
      </w:r>
      <w:r>
        <w:rPr>
          <w:rFonts w:ascii="'Times New Roman'" w:hAnsi="'Times New Roman'" w:eastAsia="'Times New Roman'" w:cs="'Times New Roman'"/>
        </w:rPr>
        <w:t>       </w:t>
      </w:r>
      <w:r>
        <w:t>缠绕</w:t>
      </w:r>
      <w:r>
        <w:rPr>
          <w:rFonts w:ascii="'Times New Roman'" w:hAnsi="'Times New Roman'" w:eastAsia="'Times New Roman'" w:cs="'Times New Roman'"/>
        </w:rPr>
        <w:t>       </w:t>
      </w:r>
      <w:r>
        <w:t>远未定形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(3)下列句子中，有语病的一项是（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A．肥胖的黄蜂伏在菜花上。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B．蟋蟀们在这里弹琴。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C．有人童年受到呵护，也尝到各种酸甜苦辣的色彩。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D．童年的生活和感受既是深藏在心中的无尽宝藏，也是生命长河不竭的源泉。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(4)“单是周围的短短的泥墙根一带，就有无限趣味。”是摘自文本中的一句话，现在请你把它放回原处，你认为哪一处最合适？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7．李教授解读《朝花夕拾》时，以“原来鲁迅这么好玩”话题分享再掀阅读热潮。为此，朝华文学社开展“朝花夕拾，再读鲁迅”的综合性学习活动，请你和小宁同学共同参与，按照要求完成以下三个任务。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(1)【识花·阅读情况】小宁绘制了社员《朝花夕拾》阅读情况图，请总结下图反映的信息。</w:t>
      </w:r>
    </w:p>
    <w:tbl>
      <w:tblPr>
        <w:tblStyle w:val="5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drawing>
                <wp:inline distT="0" distB="0" distL="114300" distR="114300">
                  <wp:extent cx="4810125" cy="2009775"/>
                  <wp:effectExtent l="0" t="0" r="0" b="0"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auto"/>
              <w:spacing w:line="24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反映信息：_____________</w:t>
            </w:r>
          </w:p>
        </w:tc>
      </w:tr>
    </w:tbl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(2)【拾花·消除隔膜】为消除与《朝花夕拾》的隔膜，李教授提供了四种解决方法，请你选择合适的方法帮助社员们解答</w:t>
      </w:r>
      <w:r>
        <w:rPr>
          <w:u w:val="none"/>
          <w:em w:val="dot"/>
        </w:rPr>
        <w:t>一项疑问</w:t>
      </w:r>
      <w:r>
        <w:t>。</w:t>
      </w:r>
    </w:p>
    <w:tbl>
      <w:tblPr>
        <w:tblStyle w:val="5"/>
        <w:tblW w:w="7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464"/>
        <w:gridCol w:w="135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精彩选段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社员疑问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解决办法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然而记得有一回，也亲见过较盛的赛会。开首是一个孩子骑马先来，称为“塘报”；过了许久，“高照”到了，长竹竿揭起一条很长的旗，一个汗流浃背的胖大汉用两手托着：他高兴的时候，就肯将竿头放在头顶或牙齿上，甚而至于鼻尖。其次是所谓“高跷”，“抬阁</w:t>
            </w:r>
            <w:r>
              <w:rPr>
                <w:rFonts w:ascii="楷体" w:hAnsi="楷体" w:eastAsia="楷体" w:cs="楷体"/>
                <w:vertAlign w:val="superscript"/>
              </w:rPr>
              <w:t>①</w:t>
            </w:r>
            <w:r>
              <w:rPr>
                <w:rFonts w:ascii="楷体" w:hAnsi="楷体" w:eastAsia="楷体" w:cs="楷体"/>
              </w:rPr>
              <w:t>”，“马头</w:t>
            </w:r>
            <w:r>
              <w:rPr>
                <w:rFonts w:ascii="楷体" w:hAnsi="楷体" w:eastAsia="楷体" w:cs="楷体"/>
                <w:vertAlign w:val="superscript"/>
              </w:rPr>
              <w:t>②</w:t>
            </w:r>
            <w:r>
              <w:rPr>
                <w:rFonts w:ascii="楷体" w:hAnsi="楷体" w:eastAsia="楷体" w:cs="楷体"/>
              </w:rPr>
              <w:t>”了；还有扮犯人的，红衣枷锁，内中也有孩子。我那时觉得这些都是有光荣的事业，与闻其事的即全是大有运气的人，——大概羡慕他们的出风头罢。我想，我为什么不生一场重病，使我的母亲也好到庙里去许下一个“扮犯人”的心愿的呢？……然而我到现在终于没有和赛会发生关系过。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……我至今一想起，还在诧异我的父亲何以要在那时候叫我来背书。</w:t>
            </w:r>
          </w:p>
          <w:p>
            <w:pPr>
              <w:shd w:val="clear" w:color="auto" w:fill="auto"/>
              <w:spacing w:line="240" w:lineRule="auto"/>
              <w:jc w:val="right"/>
            </w:pPr>
            <w:r>
              <w:t>（节选自《五猖会》）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注：①[抬阁]一种民间游艺。一个木制四方形的小阁，里面有两三个扮饰戏曲故事中人物的儿童，由成年人抬着游行。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②[马头]一种民间游艺。让孩子扮饰戏曲故事中的人物。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①这些民俗活动为什么让“小鲁迅”那么神往？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②“小鲁迅”为什么期待自己生重病？大家也有这样的经历体会吗？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③“大鲁迅”为什么至今还在诧异？哪篇文章也涉及过这样的问题？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</w:p>
          <w:p>
            <w:pPr>
              <w:shd w:val="clear" w:color="auto" w:fill="auto"/>
              <w:spacing w:line="240" w:lineRule="auto"/>
              <w:jc w:val="left"/>
            </w:pPr>
            <w:r>
              <w:t>A．结合注释查资料，理解文章内容B。知人论世看背景，把握情感主旨C。梳理篇目找关联，解读共同问题D。联系生活入文本，丰富童年体验</w:t>
            </w:r>
          </w:p>
        </w:tc>
      </w:tr>
    </w:tbl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我选择___________项方法解答第__________项疑问。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解答：________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(3)【传花·续写对联】小宁为本次活动拟写了上联，请选择合适的词语续写下联。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再听</w:t>
      </w:r>
      <w:r>
        <w:rPr>
          <w:rFonts w:ascii="'Times New Roman'" w:hAnsi="'Times New Roman'" w:eastAsia="'Times New Roman'" w:cs="'Times New Roman'"/>
        </w:rPr>
        <w:t>   </w:t>
      </w:r>
      <w:r>
        <w:t>重温</w:t>
      </w:r>
      <w:r>
        <w:rPr>
          <w:rFonts w:ascii="'Times New Roman'" w:hAnsi="'Times New Roman'" w:eastAsia="'Times New Roman'" w:cs="'Times New Roman'"/>
        </w:rPr>
        <w:t>   </w:t>
      </w:r>
      <w:r>
        <w:t>经典</w:t>
      </w:r>
      <w:r>
        <w:rPr>
          <w:rFonts w:ascii="'Times New Roman'" w:hAnsi="'Times New Roman'" w:eastAsia="'Times New Roman'" w:cs="'Times New Roman'"/>
        </w:rPr>
        <w:t>   </w:t>
      </w:r>
      <w:r>
        <w:t>经历</w:t>
      </w:r>
      <w:r>
        <w:rPr>
          <w:rFonts w:ascii="'Times New Roman'" w:hAnsi="'Times New Roman'" w:eastAsia="'Times New Roman'" w:cs="'Times New Roman'"/>
        </w:rPr>
        <w:t>   </w:t>
      </w:r>
      <w:r>
        <w:t>消隔膜</w:t>
      </w:r>
      <w:r>
        <w:rPr>
          <w:rFonts w:ascii="'Times New Roman'" w:hAnsi="'Times New Roman'" w:eastAsia="'Times New Roman'" w:cs="'Times New Roman'"/>
        </w:rPr>
        <w:t>   </w:t>
      </w:r>
      <w:r>
        <w:t>障碍无</w:t>
      </w:r>
    </w:p>
    <w:p>
      <w:pPr>
        <w:shd w:val="clear" w:color="auto" w:fill="auto"/>
        <w:spacing w:line="240" w:lineRule="auto"/>
        <w:jc w:val="left"/>
        <w:textAlignment w:val="center"/>
      </w:pPr>
      <w:r>
        <w:t>上联：再读鲁迅寻足迹</w:t>
      </w:r>
    </w:p>
    <w:p>
      <w:pPr>
        <w:shd w:val="clear" w:color="auto" w:fill="auto"/>
        <w:spacing w:line="240" w:lineRule="auto"/>
        <w:jc w:val="left"/>
        <w:textAlignment w:val="center"/>
      </w:pPr>
      <w:r>
        <w:t>下联：_____________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t>请阅读下面的文字，回答问题。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过爱农得到了一种新消息，却使我很为难。原来所谓“诈取”者，并非指学校经费而言，是指另有送给报馆的一笔款。报纸上骂了几天之后，王金发便叫人送去了五百元。于是乎我们的少年们便开起会议来，第一个问题：收不收?决议曰：收。第二个问题：收了之后骂不骂?决议曰：骂。理由：收钱之后，他是股东；股东不好，自然要骂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我即刻到报馆去问这事的真假。都是真的。略说了几句不该收他钱的话，一个名为会计的便不高兴了，质问我道：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“报馆为什么不收股本?”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“这不是股本……”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“不是股本是什么?”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我就不再说下去了，这一点（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楷体" w:hAnsi="楷体" w:eastAsia="楷体" w:cs="楷体"/>
        </w:rPr>
        <w:t>）是早已知道的，倘我再说出连累我们的话来，他就会面斥我太爱惜不值钱的生命，不肯为社会牺牲；或者明天在报上就可以看见我怎样怕死发抖的记载。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然而事情很凑巧，季茀写信来催我往南京了。爱农也很赞成，但颇凄凉，说：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“这里又是那样，住不得。你快去吧……”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我懂得他无声的话，决计往南京。先到都督府去辞职，自然照准，派来了一个拖鼻涕的接收员，我交出账目和余款一角又两铜圆，不是校长了。后任是孔教会会长傅力臣。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报馆案是我到南京后两三个星期了结的，被一群兵们捣毁。子英在乡下，没有事；德清适值在城里，大腿上被刺了一尖刀。他大怒了。自然，这是很有些痛的，怪他不得。他大怒之后，脱下衣服，照了一张照片，以显示一寸来宽的刀伤，并且作一篇文章叙述情形，向各处分送，宣传军政府的横暴。我想，这种照片现在是大约未必还有人收藏着了，尺寸太小，刀伤缩小到几乎等于无，如果不加说明，看见的人一定以为是带些疯气的风流人物的裸体照片，倘遇见孙传芳大帅，还怕要被禁止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从南京移到北京的时候，爱农的学监也被孔教会会长的校长设法去掉了。他又成了革命前的爱农。我想为他在北京寻一点小事做，这是他非常希望的，然而没有机会。他后来便到一个熟人的家里去寄食，也时时给我信，景况愈（），言辞也愈凄苦。终于又非走出这熟人的家不可，便在各处（）。不久，忽然从同乡那里得到一个消息，说他已经掉在水里，淹死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我疑心他是自杀。因为他是浮水的好手，不容易淹死的。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夜间独坐在会馆里，十分悲凉，又疑心这消息并不确，但无端又觉得这是极其可靠的，虽然并无证据。一点法子都没有，只做了四首诗，后来曾在一种日报上发表，现在是将要忘记完了。只记得一首里的六句，起首四句：“把酒论天下，先生小酒人，大圜犹酩酊，微醉合沉沦。”中间忘掉两句，末了是“旧朋云散尽，余亦等轻尘”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后来我回故乡去，才知道一些较为详细的事。爱农先是什么事也没得做，因为大家讨厌他。他很困难，但还喝酒，是朋友请他的。他已经很少和人们来往，常见的只剩下几个后来认识的较为年轻的人了，然而他们似乎也不愿意多听他的牢骚，以为不如讲笑话有趣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“也许明天就收到一个电报，拆开来一看，是鲁迅来叫我的。”他时常这样说。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一天，几个新的朋友约他坐船去看戏，回来已过夜半，又是大风雨，他醉着，却偏要到船舷上去小解。大家劝阻他，也不听，自己说是不会掉下去的。但他掉下去了，虽然能浮水，却从此不起来。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第二天打捞尸体，是在菱荡里找到的，直立着。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我至今不明白他究竟是失足还是自杀。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他死后一无所有，遗下一个幼女和他的夫人。有几个人想集一点钱作他女孩将来的学费的基金，因为一经提议，即有族人来争这笔款的保管权，——其实还没有这笔款，——大家觉得无聊，便无形消散了。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现在不知他唯一的女儿景况如何?倘在上学，中学已该毕业了罢。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（节选自《范爱农》）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8．在文中括号内依次填入词语，最恰当的一项是（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A．世故</w:t>
      </w:r>
      <w:r>
        <w:rPr>
          <w:rFonts w:ascii="'Times New Roman'" w:hAnsi="'Times New Roman'" w:eastAsia="'Times New Roman'" w:cs="'Times New Roman'"/>
        </w:rPr>
        <w:t>     </w:t>
      </w:r>
      <w:r>
        <w:t>拮据</w:t>
      </w:r>
      <w:r>
        <w:rPr>
          <w:rFonts w:ascii="'Times New Roman'" w:hAnsi="'Times New Roman'" w:eastAsia="'Times New Roman'" w:cs="'Times New Roman'"/>
        </w:rPr>
        <w:t>     </w:t>
      </w:r>
      <w:r>
        <w:t>漂流</w:t>
      </w:r>
      <w:r>
        <w:tab/>
      </w:r>
      <w:r>
        <w:t>B．圆滑</w:t>
      </w:r>
      <w:r>
        <w:rPr>
          <w:rFonts w:ascii="'Times New Roman'" w:hAnsi="'Times New Roman'" w:eastAsia="'Times New Roman'" w:cs="'Times New Roman'"/>
        </w:rPr>
        <w:t>     </w:t>
      </w:r>
      <w:r>
        <w:t>拮据</w:t>
      </w:r>
      <w:r>
        <w:rPr>
          <w:rFonts w:ascii="'Times New Roman'" w:hAnsi="'Times New Roman'" w:eastAsia="'Times New Roman'" w:cs="'Times New Roman'"/>
        </w:rPr>
        <w:t>     </w:t>
      </w:r>
      <w:r>
        <w:t>飘浮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C．圆滑</w:t>
      </w:r>
      <w:r>
        <w:rPr>
          <w:rFonts w:ascii="'Times New Roman'" w:hAnsi="'Times New Roman'" w:eastAsia="'Times New Roman'" w:cs="'Times New Roman'"/>
        </w:rPr>
        <w:t>     </w:t>
      </w:r>
      <w:r>
        <w:t>困穷</w:t>
      </w:r>
      <w:r>
        <w:rPr>
          <w:rFonts w:ascii="'Times New Roman'" w:hAnsi="'Times New Roman'" w:eastAsia="'Times New Roman'" w:cs="'Times New Roman'"/>
        </w:rPr>
        <w:t>     </w:t>
      </w:r>
      <w:r>
        <w:t>漂流</w:t>
      </w:r>
      <w:r>
        <w:tab/>
      </w:r>
      <w:r>
        <w:t>D．世故</w:t>
      </w:r>
      <w:r>
        <w:rPr>
          <w:rFonts w:ascii="'Times New Roman'" w:hAnsi="'Times New Roman'" w:eastAsia="'Times New Roman'" w:cs="'Times New Roman'"/>
        </w:rPr>
        <w:t>     </w:t>
      </w:r>
      <w:r>
        <w:t>困穷</w:t>
      </w:r>
      <w:r>
        <w:rPr>
          <w:rFonts w:ascii="'Times New Roman'" w:hAnsi="'Times New Roman'" w:eastAsia="'Times New Roman'" w:cs="'Times New Roman'"/>
        </w:rPr>
        <w:t>     </w:t>
      </w:r>
      <w:r>
        <w:t>飘浮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9．选文中，范爱农得知“我”准备去南京后，为什么既赞成，又颇凄凉?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10．请赏析下面两段文字。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（1）“也许明天就收到一个电报，拆开来一看，是鲁迅来叫我的。”他时常这样说。（从描写方法的角度）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（2）第二天打捞尸体，是在菱荡里找到的，</w:t>
      </w:r>
      <w:r>
        <w:rPr>
          <w:u w:val="none"/>
          <w:em w:val="dot"/>
        </w:rPr>
        <w:t>直立着</w:t>
      </w:r>
      <w:r>
        <w:t>。（从加点词的角度）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11．从原著看，“我”对范爱农的情感具体经历过哪几次变化?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12．《朝花夕拾》这本散文集塑造了多个丰满的人物形象，除挚友范爱农以外，还有鲁迅先生儿时的保姆_________，在日本学医时的恩师___________，以及多嘴多舌且心术不正的邻居___________等。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阅读下列名著选段，完成下面小题。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（A）</w:t>
      </w:r>
      <w:r>
        <w:rPr>
          <w:rFonts w:ascii="楷体" w:hAnsi="楷体" w:eastAsia="楷体" w:cs="楷体"/>
        </w:rPr>
        <w:t>我其时觉得很有许多东西要买，看的和吃的，只是没有钱。有一天谈到这里，她便说道，“母亲的钱，你拿来用就是了，还不就是你的么？”我说母亲没有钱，她就说可以拿首饰去变卖；我说没有首饰，她却道，“也许你没有留心。到大厨的抽屉里，角角落落去寻去，总可以寻出一点珠子这类东西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这些话我听去似乎很异样，便又不到她那里去了，但有时又真想去打开大厨，细细地寻一寻。大约此后不到一月，就听到一种流言，说我已经偷了家里的东西去变卖了，这实在使我觉得有如掉在冷水里。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（节选自《琐记》）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（B）</w:t>
      </w:r>
      <w:r>
        <w:rPr>
          <w:rFonts w:ascii="楷体" w:hAnsi="楷体" w:eastAsia="楷体" w:cs="楷体"/>
        </w:rPr>
        <w:t>父亲的喘气颇长久，连我也听得很吃力，然而谁也不能帮助他。我有时竟至于电光一闪似的想道：“还是快一点喘完了罢……。”立刻觉得这思想就不该，就是犯了罪；但同时又觉得这思想实在是正当的，我很爱我的父亲。便是现在，也还是这样想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早晨，住在一门里的衍太太进来了。她是一个精通礼节的妇人，说我们不应该空等着。于是给他换衣服；又将纸锭和一种什么《高王经》烧成灰，用纸包了给他捏在拳头里……。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“叫呀，你父亲要断气了。快叫呀！”衍太太说。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“父亲！父亲！”我就叫起来。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“大声！他听不见。还不快叫？！”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“父亲！！！父亲！！！”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他已经平静下去的脸，忽然紧张了，将眼微微一睁，仿佛有一些苦痛。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“叫呀！快叫呀！”她催促说。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“父亲！！！”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（节选自《父亲的病》）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13．请结合选段（A）（B），分析衍太太这一人物形象。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14．阿长和衍太太是《朝花夕拾》中两个典型的妇女形象，分别写出她们的一件事情（语段事情除外）以及“我”对她们的态度。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读《朝花夕拾》，消除了我们与经典的隔膜，拉近了我们与鲁迅的距离。在这十篇散文中，我们看到的是具有战斗精神的鲁迅，是饱含深情的鲁迅，是富有童真童趣的鲁迅，是幽默的鲁迅。请结合《朝花夕拾》中相关篇目及内容，从以上四个方面谈谈你的理解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1．BC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6．(1)B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(2)A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(3)C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(4)A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7．(1)朝华文学社社员绝大多数读过《朝花夕拾》，但没有完全读懂。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     示例：我选择A项方法。     解答第①个疑问     从注释中可知高跷、抬阁、马头是孩子也能够参与的民间游艺，体现了迎神赛会的热闹有趣，也反映出小鲁迅的童真、可爱、“好玩”。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示例2：我选择D项方法解答第②个疑问。因为羡慕参与赛会的人大出风头，自己生重病母亲就可以去庙里许下心愿参与赛会。我小时候觉得戴眼镜是斯文帅气的表现，躺在床上看书希望自己早点近视。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示例3：我选择C项方法解答第③个疑问。大鲁迅是诧异孩子与父亲的“代沟”之深，反映出孩子对家长不顾及自己心理的无奈和厌烦。还有《二十四孝图》《从百草园到三味书屋》《琐记》中也涉及了儿童教育的问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(3)重温经典消隔膜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9．这是范爱农心境真实的写照，“赞成”是因为他对辛亥革命感到失望，对局势有清醒的认识；“凄凉”是因为他对作者的远离感到不舍和无限伤感。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10．（1）运用语言描写，表现出范爱农对作者来电的希望与憧憬，同时也表达出作者对范爱农的愧疚之情。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（2）“直立”即“竖直、竖立”的意思，“直立着”给人一种触目惊心之感，象征着范爱农傲岸不屈的性格，也仿佛是范爱农对黑暗社会最后的控诉。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11．①横滨接新来留学的同乡时，“很不满”；②东京同乡会争执，生出憎恶之感；③故乡邂逅，前嫌尽释，成为好友；④惊闻疆耗，哀悼与怀念。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     长妈妈（阿长）     藤野先生（藤野严九郎）     衍太太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13．①教唆“我”偷母亲的首饰变卖并散布流言，表现出她爱搬弄是非、内心阴暗；②在父亲临终前让“我”不停大声呼唤父亲，表现出她的愚昧迷信。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14．阿长给“我”买绘图的《山海经》，“我”对阿长从“不大服”到充满敬意：衍太太怂恿别人的孩子在冬天比赛吃冰，“我”对衍太太这个庸俗的市井妇人充满厌恶。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15．示例：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具有战斗精神的鲁迅，如《二十四孝图》中，鲁迅坚决捍卫白话文，对虚伪的封建孝道进行猛烈抨击。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饱含深情的鲁迅，如《阿长与〈山海经〉》中，鲁迅深情回忆了保姆阿长，表达了对这位普通劳动妇女的敬意和怀念。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富有童真童趣的鲁迅，如《从百草园到三味书屋》中，鲁迅在百草园拔何首乌，摘覆盆子，雪地捕鸟………这样的生活充满了乐趣。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幽默的鲁迅，如《藤野先生》中，鲁迅用“实在标致极了”写清国留学生的丑态，极具幽默感。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D14740B"/>
    <w:rsid w:val="1F321611"/>
    <w:rsid w:val="35D9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5989</Words>
  <Characters>6155</Characters>
  <Lines>0</Lines>
  <Paragraphs>0</Paragraphs>
  <TotalTime>4</TotalTime>
  <ScaleCrop>false</ScaleCrop>
  <LinksUpToDate>false</LinksUpToDate>
  <CharactersWithSpaces>6537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2022-08-24T07:05:49Z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