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tbl>
      <w:tblPr>
        <w:tblStyle w:val="TableNormal"/>
        <w:tblW w:w="5008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329"/>
        <w:gridCol w:w="987"/>
        <w:gridCol w:w="859"/>
        <w:gridCol w:w="1108"/>
        <w:gridCol w:w="818"/>
        <w:gridCol w:w="813"/>
        <w:gridCol w:w="982"/>
        <w:gridCol w:w="1009"/>
      </w:tblGrid>
      <w:tr>
        <w:tblPrEx>
          <w:tblW w:w="5008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CCCCCC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11315700</wp:posOffset>
                  </wp:positionH>
                  <wp:positionV relativeFrom="topMargin">
                    <wp:posOffset>10820400</wp:posOffset>
                  </wp:positionV>
                  <wp:extent cx="279400" cy="355600"/>
                  <wp:wrapNone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Cs w:val="21"/>
              </w:rPr>
              <w:br w:type="page"/>
            </w:r>
            <w:r>
              <w:rPr>
                <w:rFonts w:ascii="Times New Roman" w:hAnsi="Times New Roman" w:hint="eastAsia"/>
                <w:szCs w:val="21"/>
              </w:rPr>
              <w:t>课程基本信息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/>
        </w:trPr>
        <w:tc>
          <w:tcPr>
            <w:tcW w:w="1149" w:type="pct"/>
            <w:gridSpan w:val="2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课例编号</w:t>
            </w:r>
          </w:p>
        </w:tc>
        <w:tc>
          <w:tcPr>
            <w:tcW w:w="578" w:type="pct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35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学科</w:t>
            </w: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英语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年级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初一</w:t>
            </w:r>
          </w:p>
        </w:tc>
        <w:tc>
          <w:tcPr>
            <w:tcW w:w="5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学期</w:t>
            </w:r>
          </w:p>
        </w:tc>
        <w:tc>
          <w:tcPr>
            <w:tcW w:w="5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秋季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/>
        </w:trPr>
        <w:tc>
          <w:tcPr>
            <w:tcW w:w="1149" w:type="pct"/>
            <w:gridSpan w:val="2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课题</w:t>
            </w:r>
          </w:p>
        </w:tc>
        <w:tc>
          <w:tcPr>
            <w:tcW w:w="3850" w:type="pct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U4 Lesson 10 My Interests 1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pct"/>
            <w:gridSpan w:val="2"/>
            <w:shd w:val="clear" w:color="auto" w:fill="auto"/>
          </w:tcPr>
          <w:p>
            <w:pPr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教科书</w:t>
            </w:r>
          </w:p>
        </w:tc>
        <w:tc>
          <w:tcPr>
            <w:tcW w:w="3850" w:type="pct"/>
            <w:gridSpan w:val="7"/>
            <w:shd w:val="clear" w:color="auto" w:fill="auto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书名：英语                                 </w:t>
            </w:r>
          </w:p>
          <w:p>
            <w:pPr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出版社：北京师范大学出版社   出版日期：2017年12月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tcBorders>
              <w:right w:val="single" w:sz="4" w:space="0" w:color="auto"/>
            </w:tcBorders>
            <w:shd w:val="clear" w:color="auto" w:fill="CCCCCC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教学人员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pct"/>
            <w:gridSpan w:val="2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578" w:type="pct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姓名</w:t>
            </w:r>
          </w:p>
        </w:tc>
        <w:tc>
          <w:tcPr>
            <w:tcW w:w="3272" w:type="pct"/>
            <w:gridSpan w:val="6"/>
            <w:tcBorders>
              <w:right w:val="single" w:sz="4" w:space="0" w:color="auto"/>
            </w:tcBorders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单位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/>
        </w:trPr>
        <w:tc>
          <w:tcPr>
            <w:tcW w:w="1149" w:type="pct"/>
            <w:gridSpan w:val="2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授课教师</w:t>
            </w:r>
          </w:p>
        </w:tc>
        <w:tc>
          <w:tcPr>
            <w:tcW w:w="578" w:type="pct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3272" w:type="pct"/>
            <w:gridSpan w:val="6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/>
        </w:trPr>
        <w:tc>
          <w:tcPr>
            <w:tcW w:w="1149" w:type="pct"/>
            <w:gridSpan w:val="2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指导教师</w:t>
            </w:r>
          </w:p>
        </w:tc>
        <w:tc>
          <w:tcPr>
            <w:tcW w:w="578" w:type="pct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3272" w:type="pct"/>
            <w:gridSpan w:val="6"/>
          </w:tcPr>
          <w:p>
            <w:pPr>
              <w:ind w:firstLine="0" w:firstLineChars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shd w:val="clear" w:color="auto" w:fill="D9D9D9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教学目标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教学目标：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通过本课学习，学生能够：</w:t>
            </w:r>
          </w:p>
          <w:p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通过图示，认读有关兴趣爱好的词汇。</w:t>
            </w:r>
          </w:p>
          <w:p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通过阅读活动，获取对话中人物的兴趣爱好及所加入的俱乐部等信息。</w:t>
            </w:r>
          </w:p>
          <w:p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运用本课所学，口头介绍对话中人物的兴趣爱好及所加入的俱乐部。</w:t>
            </w:r>
          </w:p>
          <w:p>
            <w:pP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教学重点：</w:t>
            </w:r>
          </w:p>
          <w:p>
            <w:pPr>
              <w:pStyle w:val="ListParagraph"/>
              <w:ind w:left="780"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通过图示，认读有关兴趣爱好的词汇。</w:t>
            </w:r>
          </w:p>
          <w:p>
            <w:pPr>
              <w:pStyle w:val="ListParagraph"/>
              <w:ind w:left="780"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通过阅读活动，获取对话中人物的兴趣爱好及所加入的俱乐部等信息。</w:t>
            </w:r>
          </w:p>
          <w:p>
            <w:pPr>
              <w:ind w:firstLine="540" w:firstLineChars="225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教学难点：</w:t>
            </w:r>
          </w:p>
          <w:p>
            <w:pPr>
              <w:pStyle w:val="ListParagraph"/>
              <w:ind w:left="420" w:firstLine="360" w:firstLineChars="15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运用本课所学，口头介绍对话中人物的兴趣爱好及所加入的俱乐部。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shd w:val="clear" w:color="auto" w:fill="D9D9D9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教学过程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时间</w:t>
            </w:r>
          </w:p>
        </w:tc>
        <w:tc>
          <w:tcPr>
            <w:tcW w:w="77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教学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环节</w:t>
            </w:r>
          </w:p>
        </w:tc>
        <w:tc>
          <w:tcPr>
            <w:tcW w:w="3850" w:type="pct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主要师生活动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/>
        </w:trPr>
        <w:tc>
          <w:tcPr>
            <w:tcW w:w="370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’</w:t>
            </w:r>
          </w:p>
        </w:tc>
        <w:tc>
          <w:tcPr>
            <w:tcW w:w="779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Warm-up</w:t>
            </w:r>
          </w:p>
        </w:tc>
        <w:tc>
          <w:tcPr>
            <w:tcW w:w="3850" w:type="pct"/>
            <w:gridSpan w:val="7"/>
            <w:vAlign w:val="center"/>
          </w:tcPr>
          <w:p>
            <w:pPr>
              <w:pStyle w:val="ListParagraph"/>
              <w:ind w:left="240" w:hanging="240" w:hanging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 T</w:t>
            </w:r>
            <w:r>
              <w:rPr>
                <w:rFonts w:ascii="Times New Roman" w:hAnsi="Times New Roman"/>
              </w:rPr>
              <w:t xml:space="preserve"> shows </w:t>
            </w:r>
            <w:r>
              <w:rPr>
                <w:rFonts w:ascii="Times New Roman" w:hAnsi="Times New Roman" w:hint="eastAsia"/>
              </w:rPr>
              <w:t xml:space="preserve">some pictures about interests </w:t>
            </w:r>
            <w:r>
              <w:rPr>
                <w:rFonts w:ascii="Times New Roman" w:hAnsi="Times New Roman"/>
              </w:rPr>
              <w:t xml:space="preserve">and leads Ss to get to know the words about </w:t>
            </w:r>
            <w:r>
              <w:rPr>
                <w:rFonts w:ascii="Times New Roman" w:hAnsi="Times New Roman" w:hint="eastAsia"/>
              </w:rPr>
              <w:t>interests</w:t>
            </w:r>
            <w:r>
              <w:rPr>
                <w:rFonts w:ascii="Times New Roman" w:hAnsi="Times New Roman"/>
              </w:rPr>
              <w:t>.</w:t>
            </w:r>
          </w:p>
          <w:p>
            <w:pPr>
              <w:pStyle w:val="ListParagraph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2. </w:t>
            </w:r>
            <w:r>
              <w:rPr>
                <w:rFonts w:ascii="Times New Roman" w:hAnsi="Times New Roman"/>
              </w:rPr>
              <w:t xml:space="preserve">T asks Ss to read the </w:t>
            </w:r>
            <w:r>
              <w:rPr>
                <w:rFonts w:ascii="Times New Roman" w:hAnsi="Times New Roman" w:hint="eastAsia"/>
              </w:rPr>
              <w:t>new</w:t>
            </w:r>
            <w:r>
              <w:rPr>
                <w:rFonts w:ascii="Times New Roman" w:hAnsi="Times New Roman"/>
              </w:rPr>
              <w:t xml:space="preserve"> words.</w:t>
            </w:r>
          </w:p>
          <w:p>
            <w:pPr>
              <w:pStyle w:val="ListParagraph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3. T leads Ss to know more words about interests.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tbl>
      <w:tblPr>
        <w:tblStyle w:val="TableNormal"/>
        <w:tblW w:w="5008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329"/>
        <w:gridCol w:w="6576"/>
      </w:tblGrid>
      <w:tr>
        <w:tblPrEx>
          <w:tblW w:w="5008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/>
        </w:trPr>
        <w:tc>
          <w:tcPr>
            <w:tcW w:w="370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  <w:r>
              <w:rPr>
                <w:rFonts w:ascii="Times New Roman" w:hAnsi="Times New Roman"/>
              </w:rPr>
              <w:t>’</w:t>
            </w:r>
          </w:p>
        </w:tc>
        <w:tc>
          <w:tcPr>
            <w:tcW w:w="779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Reading</w:t>
            </w:r>
          </w:p>
        </w:tc>
        <w:tc>
          <w:tcPr>
            <w:tcW w:w="3850" w:type="pct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</w:t>
            </w:r>
            <w:r>
              <w:rPr>
                <w:rFonts w:ascii="Times New Roman" w:hAnsi="Times New Roman"/>
              </w:rPr>
              <w:t xml:space="preserve"> guides Ss to put the interests into groups</w:t>
            </w:r>
            <w:r>
              <w:rPr>
                <w:rFonts w:ascii="Times New Roman" w:hAnsi="Times New Roman" w:hint="eastAsia"/>
              </w:rPr>
              <w:t xml:space="preserve"> and write the key words in the box</w:t>
            </w:r>
            <w:r>
              <w:rPr>
                <w:rFonts w:ascii="Times New Roman" w:hAnsi="Times New Roman"/>
              </w:rPr>
              <w:t>.</w:t>
            </w:r>
          </w:p>
          <w:p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 w:hint="eastAsia"/>
              </w:rPr>
              <w:t>T</w:t>
            </w:r>
            <w:r>
              <w:rPr>
                <w:rFonts w:ascii="Times New Roman" w:hAnsi="Times New Roman"/>
              </w:rPr>
              <w:t xml:space="preserve"> guides Ss to</w:t>
            </w:r>
            <w:r>
              <w:rPr>
                <w:rFonts w:ascii="Times New Roman" w:hAnsi="Times New Roman" w:hint="eastAsia"/>
              </w:rPr>
              <w:t xml:space="preserve"> read and complete</w:t>
            </w:r>
            <w:r>
              <w:rPr>
                <w:rFonts w:ascii="Times New Roman" w:hAnsi="Times New Roman"/>
              </w:rPr>
              <w:t xml:space="preserve"> the dialogue.</w:t>
            </w:r>
          </w:p>
          <w:p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 w:hint="eastAsia"/>
              </w:rPr>
              <w:t>T</w:t>
            </w:r>
            <w:r>
              <w:rPr>
                <w:rFonts w:ascii="Times New Roman" w:hAnsi="Times New Roman"/>
              </w:rPr>
              <w:t xml:space="preserve"> guides Ss to</w:t>
            </w:r>
            <w:r>
              <w:rPr>
                <w:rFonts w:ascii="Times New Roman" w:hAnsi="Times New Roman" w:hint="eastAsia"/>
              </w:rPr>
              <w:t xml:space="preserve"> read again and complete</w:t>
            </w:r>
            <w:r>
              <w:rPr>
                <w:rFonts w:ascii="Times New Roman" w:hAnsi="Times New Roman"/>
              </w:rPr>
              <w:t xml:space="preserve"> the </w:t>
            </w:r>
            <w:r>
              <w:rPr>
                <w:rFonts w:ascii="Times New Roman" w:hAnsi="Times New Roman" w:hint="eastAsia"/>
              </w:rPr>
              <w:t>table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/>
        </w:trPr>
        <w:tc>
          <w:tcPr>
            <w:tcW w:w="370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’</w:t>
            </w:r>
          </w:p>
        </w:tc>
        <w:tc>
          <w:tcPr>
            <w:tcW w:w="779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Speaking</w:t>
            </w:r>
          </w:p>
        </w:tc>
        <w:tc>
          <w:tcPr>
            <w:tcW w:w="3850" w:type="pct"/>
            <w:vAlign w:val="center"/>
          </w:tcPr>
          <w:p>
            <w:pPr>
              <w:ind w:firstLine="0"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 T</w:t>
            </w:r>
            <w:r>
              <w:rPr>
                <w:rFonts w:ascii="Times New Roman" w:hAnsi="Times New Roman"/>
              </w:rPr>
              <w:t xml:space="preserve"> asks Ss to </w:t>
            </w:r>
            <w:r>
              <w:rPr>
                <w:rFonts w:ascii="Times New Roman" w:hAnsi="Times New Roman" w:hint="eastAsia"/>
              </w:rPr>
              <w:t>read the dialogue in groups.</w:t>
            </w:r>
          </w:p>
          <w:p>
            <w:pPr>
              <w:ind w:left="360" w:hanging="360" w:hangingChars="15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2. T guides Ss to </w:t>
            </w:r>
            <w:r>
              <w:rPr>
                <w:rFonts w:ascii="Times New Roman" w:hAnsi="Times New Roman"/>
              </w:rPr>
              <w:t>tell the class about Lucy’</w:t>
            </w:r>
            <w:r>
              <w:rPr>
                <w:rFonts w:ascii="Times New Roman" w:hAnsi="Times New Roman" w:hint="eastAsia"/>
              </w:rPr>
              <w:t>s</w:t>
            </w:r>
            <w:r>
              <w:rPr>
                <w:rFonts w:ascii="Times New Roman" w:hAnsi="Times New Roman"/>
              </w:rPr>
              <w:t>, Alex’</w:t>
            </w:r>
            <w:r>
              <w:rPr>
                <w:rFonts w:ascii="Times New Roman" w:hAnsi="Times New Roman" w:hint="eastAsia"/>
              </w:rPr>
              <w:t>s</w:t>
            </w:r>
            <w:r>
              <w:rPr>
                <w:rFonts w:ascii="Times New Roman" w:hAnsi="Times New Roman"/>
              </w:rPr>
              <w:t xml:space="preserve"> and Ann’s interests and the clubs or teams they join</w:t>
            </w:r>
            <w:r>
              <w:rPr>
                <w:rFonts w:ascii="Times New Roman" w:hAnsi="Times New Roman" w:hint="eastAsia"/>
              </w:rPr>
              <w:t>.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/>
        </w:trPr>
        <w:tc>
          <w:tcPr>
            <w:tcW w:w="370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’</w:t>
            </w:r>
          </w:p>
        </w:tc>
        <w:tc>
          <w:tcPr>
            <w:tcW w:w="779" w:type="pct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Homework</w:t>
            </w:r>
          </w:p>
        </w:tc>
        <w:tc>
          <w:tcPr>
            <w:tcW w:w="3850" w:type="pct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i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 熟读教材P62 课文；</w:t>
            </w:r>
          </w:p>
          <w:p>
            <w:pPr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 写一篇小短文，介绍Ann和Alex的兴趣爱好和所参加的俱乐部</w:t>
            </w:r>
            <w:r>
              <w:rPr>
                <w:rFonts w:ascii="Times New Roman" w:hAnsi="Times New Roman" w:hint="eastAsia"/>
                <w:i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/>
    <w:sectPr>
      <w:type w:val="nextPage"/>
      <w:pgSz w:w="11906" w:h="16838"/>
      <w:pgMar w:top="1440" w:right="1800" w:bottom="1440" w:left="1800" w:header="851" w:footer="992" w:gutter="0"/>
      <w:pgNumType w:start="2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911B5C"/>
    <w:multiLevelType w:val="multilevel"/>
    <w:tmpl w:val="5F911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6B3304"/>
    <w:multiLevelType w:val="multilevel"/>
    <w:tmpl w:val="606B330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20"/>
    <w:rsid w:val="000726C1"/>
    <w:rsid w:val="000B2CE6"/>
    <w:rsid w:val="000D4D46"/>
    <w:rsid w:val="000D7046"/>
    <w:rsid w:val="000F059A"/>
    <w:rsid w:val="000F7F70"/>
    <w:rsid w:val="00114C66"/>
    <w:rsid w:val="00157136"/>
    <w:rsid w:val="0018225A"/>
    <w:rsid w:val="0018660D"/>
    <w:rsid w:val="001E0F72"/>
    <w:rsid w:val="0030406E"/>
    <w:rsid w:val="003335D0"/>
    <w:rsid w:val="00353A63"/>
    <w:rsid w:val="003611C7"/>
    <w:rsid w:val="003F5646"/>
    <w:rsid w:val="00401BC7"/>
    <w:rsid w:val="004151FC"/>
    <w:rsid w:val="00417D72"/>
    <w:rsid w:val="004431D1"/>
    <w:rsid w:val="0045484E"/>
    <w:rsid w:val="004F4DE8"/>
    <w:rsid w:val="00516960"/>
    <w:rsid w:val="00582A98"/>
    <w:rsid w:val="005F29CA"/>
    <w:rsid w:val="00604561"/>
    <w:rsid w:val="00626AD3"/>
    <w:rsid w:val="00630C71"/>
    <w:rsid w:val="0068163F"/>
    <w:rsid w:val="006A1F99"/>
    <w:rsid w:val="006F43C7"/>
    <w:rsid w:val="00797DF2"/>
    <w:rsid w:val="00811FE0"/>
    <w:rsid w:val="008623CE"/>
    <w:rsid w:val="00925660"/>
    <w:rsid w:val="00943C61"/>
    <w:rsid w:val="009873B3"/>
    <w:rsid w:val="00AD5DBD"/>
    <w:rsid w:val="00B03208"/>
    <w:rsid w:val="00B55073"/>
    <w:rsid w:val="00C02FC6"/>
    <w:rsid w:val="00C22457"/>
    <w:rsid w:val="00C74C88"/>
    <w:rsid w:val="00CA425F"/>
    <w:rsid w:val="00CE2623"/>
    <w:rsid w:val="00D72F4D"/>
    <w:rsid w:val="00DB6774"/>
    <w:rsid w:val="00E65F16"/>
    <w:rsid w:val="00EC3A20"/>
    <w:rsid w:val="00F6714B"/>
    <w:rsid w:val="00FA5AAF"/>
    <w:rsid w:val="00FF6ADF"/>
    <w:rsid w:val="14E61FED"/>
    <w:rsid w:val="17F101DD"/>
    <w:rsid w:val="320D03DB"/>
    <w:rsid w:val="39241010"/>
    <w:rsid w:val="57C40CA3"/>
    <w:rsid w:val="61766729"/>
    <w:rsid w:val="64573AEE"/>
    <w:rsid w:val="6D0E1B33"/>
    <w:rsid w:val="6E5E0DBE"/>
  </w:rsids>
  <w:docVars>
    <w:docVar w:name="commondata" w:val="eyJoZGlkIjoiNjQyZmNkNTJmMWJhNTEzODFlNGYwNDc2MWQ4MGQ1ZD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360" w:lineRule="auto"/>
      <w:ind w:firstLine="480" w:firstLineChars="200"/>
      <w:jc w:val="both"/>
    </w:pPr>
    <w:rPr>
      <w:rFonts w:ascii="宋体" w:eastAsia="宋体" w:hAnsi="宋体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rFonts w:ascii="宋体" w:eastAsia="宋体" w:hAnsi="宋体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宋体" w:eastAsia="宋体" w:hAnsi="宋体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