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pict>
          <v:shape id="_x0000_s1025" o:spid="_x0000_s1025" o:spt="75" type="#_x0000_t75" style="position:absolute;left:0pt;margin-left:806pt;margin-top:960pt;height:34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/>
          <w:sz w:val="32"/>
          <w:szCs w:val="32"/>
        </w:rPr>
        <w:t>2022-2023学年上期期末检测</w:t>
      </w:r>
    </w:p>
    <w:p>
      <w:pPr>
        <w:snapToGrid w:val="0"/>
        <w:spacing w:after="156" w:afterLines="50"/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</w:rPr>
        <w:t>九年级道德与法治参考答案</w:t>
      </w:r>
    </w:p>
    <w:p>
      <w:pPr>
        <w:numPr>
          <w:ilvl w:val="0"/>
          <w:numId w:val="1"/>
        </w:numPr>
        <w:rPr>
          <w:rFonts w:ascii="宋体" w:hAnsi="宋体" w:cs="宋体"/>
          <w:bCs/>
          <w:szCs w:val="21"/>
        </w:rPr>
      </w:pPr>
      <w:r>
        <w:rPr>
          <w:rFonts w:hint="eastAsia"/>
          <w:b/>
        </w:rPr>
        <w:t>选择题</w:t>
      </w:r>
      <w:r>
        <w:rPr>
          <w:rFonts w:hint="eastAsia" w:ascii="宋体" w:hAnsi="宋体" w:cs="宋体"/>
          <w:bCs/>
          <w:szCs w:val="21"/>
        </w:rPr>
        <w:t>（本大题共10小题，每小题2分，共20分。）</w:t>
      </w:r>
    </w:p>
    <w:p>
      <w:pPr>
        <w:pStyle w:val="2"/>
        <w:ind w:firstLine="440" w:firstLineChars="200"/>
        <w:rPr>
          <w:rFonts w:eastAsia="宋体"/>
          <w:b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1. B    2. A    3. B    4. C   5. D    6. C   7. B    8. D    9. A    10. D</w:t>
      </w:r>
    </w:p>
    <w:p>
      <w:pPr>
        <w:ind w:left="420" w:hanging="422" w:hangingChars="200"/>
        <w:rPr>
          <w:rFonts w:ascii="宋体" w:hAnsi="宋体" w:cs="宋体"/>
          <w:bCs/>
          <w:szCs w:val="21"/>
        </w:rPr>
      </w:pPr>
      <w:r>
        <w:rPr>
          <w:rFonts w:hint="eastAsia"/>
          <w:b/>
        </w:rPr>
        <w:t>二、非选择题</w:t>
      </w:r>
      <w:r>
        <w:rPr>
          <w:rFonts w:hint="eastAsia" w:ascii="宋体" w:hAnsi="宋体" w:cs="宋体"/>
          <w:szCs w:val="21"/>
        </w:rPr>
        <w:t>本大题共4小题，其中11题4分，12题10分，13题6分，14题10分，共30分。）</w:t>
      </w:r>
    </w:p>
    <w:p>
      <w:pPr>
        <w:ind w:left="420" w:hanging="422" w:hangingChars="200"/>
        <w:rPr>
          <w:rFonts w:ascii="宋体" w:hAnsi="宋体" w:cs="宋体"/>
          <w:szCs w:val="21"/>
        </w:rPr>
      </w:pPr>
      <w:r>
        <w:rPr>
          <w:rFonts w:hint="eastAsia" w:ascii="宋体" w:hAnsi="宋体" w:cstheme="minorEastAsia"/>
          <w:b/>
          <w:bCs/>
          <w:szCs w:val="21"/>
        </w:rPr>
        <w:t xml:space="preserve">11.  </w:t>
      </w:r>
      <w:r>
        <w:rPr>
          <w:rFonts w:hint="eastAsia" w:asciiTheme="minorEastAsia" w:hAnsiTheme="minorEastAsia" w:cstheme="minorEastAsia"/>
          <w:b/>
          <w:bCs/>
          <w:szCs w:val="21"/>
        </w:rPr>
        <w:t>结局</w:t>
      </w:r>
      <w:r>
        <w:rPr>
          <w:rFonts w:hint="eastAsia" w:ascii="宋体" w:hAnsi="宋体" w:cs="宋体"/>
          <w:szCs w:val="21"/>
        </w:rPr>
        <w:t>：</w:t>
      </w:r>
      <w:r>
        <w:rPr>
          <w:rFonts w:hint="eastAsia" w:ascii="宋体" w:hAnsi="宋体"/>
        </w:rPr>
        <w:t>利桥古街得到了应有的保护，成为传承福清市人文历史的“金名片”。</w:t>
      </w:r>
    </w:p>
    <w:p>
      <w:pPr>
        <w:ind w:left="420" w:left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理由：</w:t>
      </w:r>
      <w:r>
        <w:rPr>
          <w:rFonts w:hint="eastAsia" w:ascii="宋体" w:hAnsi="宋体" w:cs="宋体"/>
          <w:szCs w:val="21"/>
        </w:rPr>
        <w:t>①人民群众有着较强主人翁意识和社会责任感，积极参与民主决策，向政府提出建议，让“拆保”事件有一个缓冲时间。②政府部门充分听取人民群众的意愿和要求，使人民意愿得到充分反映、人民的合理要求得到充分实现，保障了维护人民根本利益最真实最管用的民主，推动了经济社会持续健康发展。③人民政协通过社情民意反映制度，充分的调查为最终方案的形成奠定基础。④我国实行中国共产党领导的多党合作和政治协商制度，人民政协充分发挥民主协商的作用，为最终方案的形成集中民智和民意。发展协商民主，进行充分协商，尽可能取得一致意见。</w:t>
      </w:r>
    </w:p>
    <w:p>
      <w:pPr>
        <w:ind w:left="420" w:left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（结局2分，理由2分，从人民群众、人民政协和政府任何一个方面谈理由即可。）</w:t>
      </w:r>
    </w:p>
    <w:p>
      <w:pPr>
        <w:ind w:left="420" w:hanging="422" w:hangingChars="200"/>
        <w:rPr>
          <w:rFonts w:ascii="宋体" w:hAnsi="宋体" w:cs="宋体"/>
          <w:szCs w:val="21"/>
        </w:rPr>
      </w:pPr>
      <w:r>
        <w:rPr>
          <w:rFonts w:hint="eastAsia" w:ascii="宋体" w:hAnsi="宋体" w:cstheme="minorEastAsia"/>
          <w:b/>
          <w:bCs/>
        </w:rPr>
        <w:t>12.</w:t>
      </w:r>
      <w:r>
        <w:rPr>
          <w:rFonts w:hint="eastAsia" w:ascii="宋体" w:hAnsi="宋体" w:cs="宋体"/>
          <w:szCs w:val="21"/>
        </w:rPr>
        <w:t>（1）①《黑土地保护法》的出台为我国在保护和利用黑土地的领域提供了法律参考，为在黑土地上辛勤耕作的人们提供了法律保护和良好的生活秩序；②近年来黑土地已到了非治理不可的地步，这时候适时出台《黑土地保护法》反映了社会发展的规律，是对人民利益和诉求的回应，是真正的良法之治；③黑土地是重要的战略资源，利用黑土地所产的粮食在国家发展大局中举足轻重，《黑土地保护法》的出台再次证明了法治是现代政治文明的核心，是发展市场经济、实现强国富民的基本保障；④《黑土地保护法》的出台是对全面依法治国基本方略的具体实施和有效践行。（正确回答1点得2分，回答2点得4分。不结合材料扣1分。）</w:t>
      </w:r>
    </w:p>
    <w:p>
      <w:pPr>
        <w:ind w:left="420" w:hanging="420" w:hanging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①认为《黑土地保护法》的出台从法律上彻底解决保护黑土地问题的观点是片面的；（1分）②从国家层面出台《黑土地保护法》到各省出台地方性法规保护黑土地，确实从立法层面为保护黑土地提供了必要的法律依据，做到了科学立法；②黑龙江和吉林政府依据《黑土地保护法》相关规定，全面推行“田长制”，这说明了保护黑土地还需要政府坚持依法行政，在行使行政权力、管理公共事务坚持由法律授权，按照法律要求明确工作责任，如此才能有效推动黑土地保护工作落实。③针对盗挖、滥挖黑土，非法占用或者出售黑土等破坏行为，相关执法部门或公安机关更应该做到严格执法，使《黑土地保护发》在执法层面得到落实。④黑土地保护是一项长期工程，必须要加强法治宣传，弘扬法治精神，培养公民法治意识，共同营造良好的法治文化环境，才能更好更长久地保护黑土地。（具体分析答到1点得2分，答到2点得3分。不结合材料扣1分。）</w:t>
      </w:r>
    </w:p>
    <w:p>
      <w:pPr>
        <w:ind w:left="420" w:hanging="422" w:hanging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13. </w:t>
      </w:r>
      <w:r>
        <w:rPr>
          <w:rFonts w:hint="eastAsia" w:ascii="宋体" w:hAnsi="宋体" w:cs="宋体"/>
          <w:szCs w:val="21"/>
        </w:rPr>
        <w:t>①“三星堆古遗址距今已有3000至5000年历史，金面具、青铜大立人像、扭头跪坐人像、青铜神树等跨越千年的、充满想象力的文物”告诉我们，中华文化源远流长、博大精深。②“将三星堆与跨年演唱会相融合，通过与品牌联名、盲盒、云直播等多种方式让文物活起来”告诉我们，许多人正努力地推动着中华优秀传统文化创造性转换、创新性发展。/中华文化具有与时俱进的创造力。③“这些方式不但让文物活起来，而且活得出彩、活向未来、活向世界”告诉我们，坚定文化自信需要不忘本来、吸收外来、面向未来，不断铸就中华文化新辉煌。④“将现代文化与古蜀文明相结合，打造一场跨越千年的古今对话”告诉我们中华文化具有有容乃大的包容力。（每点2分，任答3点得6分。不结合材料扣1分。）</w:t>
      </w:r>
    </w:p>
    <w:p>
      <w:pPr>
        <w:ind w:left="420" w:hanging="422" w:hanging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14. </w:t>
      </w:r>
      <w:r>
        <w:rPr>
          <w:rFonts w:hint="eastAsia" w:ascii="宋体" w:hAnsi="宋体"/>
        </w:rPr>
        <w:t>①</w:t>
      </w:r>
      <w:r>
        <w:rPr>
          <w:rFonts w:hint="eastAsia" w:ascii="宋体" w:hAnsi="宋体" w:cs="宋体"/>
          <w:b/>
          <w:bCs/>
          <w:szCs w:val="21"/>
        </w:rPr>
        <w:t>措施：</w:t>
      </w:r>
      <w:r>
        <w:rPr>
          <w:rFonts w:hint="eastAsia" w:ascii="宋体" w:hAnsi="宋体" w:cs="宋体"/>
          <w:szCs w:val="21"/>
        </w:rPr>
        <w:t>石蟆镇通过了解情况，切实解决困难群众生活中的实际问题</w:t>
      </w:r>
    </w:p>
    <w:p>
      <w:pPr>
        <w:ind w:left="1262" w:leftChars="300" w:hanging="632" w:hangingChars="3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理由：</w:t>
      </w:r>
      <w:r>
        <w:rPr>
          <w:rFonts w:hint="eastAsia" w:ascii="宋体" w:hAnsi="宋体" w:cs="宋体"/>
          <w:szCs w:val="21"/>
        </w:rPr>
        <w:t>党和政府抓住人民最关心最直接最现实的利益问题，使人民获得感、幸福感、安全感更加充实，更有保障、更可持续；</w:t>
      </w:r>
    </w:p>
    <w:p>
      <w:pPr>
        <w:ind w:left="420" w:left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hint="eastAsia" w:ascii="宋体" w:hAnsi="宋体" w:cs="宋体"/>
          <w:b/>
          <w:bCs/>
          <w:szCs w:val="21"/>
        </w:rPr>
        <w:t>措施：</w:t>
      </w:r>
      <w:r>
        <w:rPr>
          <w:rFonts w:hint="eastAsia" w:ascii="宋体" w:hAnsi="宋体" w:cs="宋体"/>
          <w:szCs w:val="21"/>
        </w:rPr>
        <w:t>石蟆镇在医疗、教育和住房等方面争取让居民享受到同城里人一样的保障，</w:t>
      </w:r>
    </w:p>
    <w:p>
      <w:pPr>
        <w:ind w:left="420" w:leftChars="200" w:firstLine="211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理由：</w:t>
      </w:r>
      <w:r>
        <w:rPr>
          <w:rFonts w:hint="eastAsia" w:ascii="宋体" w:hAnsi="宋体" w:cs="宋体"/>
          <w:szCs w:val="21"/>
        </w:rPr>
        <w:t>面对城乡发展的客观差距，要坚持中国特色新型城镇化道路，推动城乡发展一体化；</w:t>
      </w:r>
    </w:p>
    <w:p>
      <w:pPr>
        <w:ind w:left="1260" w:leftChars="200" w:hanging="840" w:hangingChars="4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hint="eastAsia" w:ascii="宋体" w:hAnsi="宋体" w:cs="宋体"/>
          <w:b/>
          <w:bCs/>
          <w:szCs w:val="21"/>
        </w:rPr>
        <w:t>措施：</w:t>
      </w:r>
      <w:r>
        <w:rPr>
          <w:rFonts w:hint="eastAsia" w:ascii="宋体" w:hAnsi="宋体" w:cs="宋体"/>
          <w:szCs w:val="21"/>
        </w:rPr>
        <w:t>石蟆镇清理生活垃圾，清理沟渠，清理农业生产废弃物，打造“山青水绿、天蓝土净、庭院整洁”的乡村新貌，坚持保护环境，走绿色发展道路</w:t>
      </w:r>
    </w:p>
    <w:p>
      <w:pPr>
        <w:ind w:left="1258" w:leftChars="300" w:hanging="628" w:hangingChars="298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理由：</w:t>
      </w:r>
      <w:r>
        <w:rPr>
          <w:rFonts w:hint="eastAsia" w:ascii="宋体" w:hAnsi="宋体" w:cs="宋体"/>
          <w:szCs w:val="21"/>
        </w:rPr>
        <w:t>人类开发利用自然，要实现人与自然和谐发展，要坚持节约资源和保护环境的基本国策，贯彻绿色发展理念，建设环境友好型社会；</w:t>
      </w:r>
    </w:p>
    <w:p>
      <w:pPr>
        <w:ind w:left="1260" w:leftChars="200" w:hanging="840" w:hangingChars="4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</w:t>
      </w:r>
      <w:r>
        <w:rPr>
          <w:rFonts w:hint="eastAsia" w:ascii="宋体" w:hAnsi="宋体" w:cs="宋体"/>
          <w:b/>
          <w:bCs/>
          <w:szCs w:val="21"/>
        </w:rPr>
        <w:t>措施：</w:t>
      </w:r>
      <w:r>
        <w:rPr>
          <w:rFonts w:hint="eastAsia" w:ascii="宋体" w:hAnsi="宋体" w:cs="宋体"/>
          <w:szCs w:val="21"/>
        </w:rPr>
        <w:t>石蟆镇依靠良好生态环境，打造“网红打卡地”，同时也为村民们带来了丰厚的经济收入。</w:t>
      </w:r>
    </w:p>
    <w:p>
      <w:pPr>
        <w:ind w:left="1258" w:leftChars="300" w:hanging="628" w:hangingChars="298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理由：</w:t>
      </w:r>
      <w:r>
        <w:rPr>
          <w:rFonts w:hint="eastAsia" w:ascii="宋体" w:hAnsi="宋体" w:cs="宋体"/>
          <w:szCs w:val="21"/>
        </w:rPr>
        <w:t>石蟆镇坚持处理好了经济发展与环境保护的关系，坚持绿水青山就是金山银山的发展理念，走绿色发展道路，坚持绿色惠民，将良好生态环境作为最普惠的民生福祉；</w:t>
      </w:r>
    </w:p>
    <w:p>
      <w:pPr>
        <w:ind w:left="1260" w:leftChars="200" w:hanging="840" w:hangingChars="4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⑤</w:t>
      </w:r>
      <w:r>
        <w:rPr>
          <w:rFonts w:hint="eastAsia" w:ascii="宋体" w:hAnsi="宋体" w:cs="宋体"/>
          <w:b/>
          <w:bCs/>
          <w:szCs w:val="21"/>
        </w:rPr>
        <w:t>措施：</w:t>
      </w:r>
      <w:r>
        <w:rPr>
          <w:rFonts w:hint="eastAsia" w:ascii="宋体" w:hAnsi="宋体" w:cs="宋体"/>
          <w:szCs w:val="21"/>
        </w:rPr>
        <w:t>石蟆镇坚持把发展壮大农村集体经济作为助推乡村产业发展、实现乡村振兴的重要发展路线；</w:t>
      </w:r>
    </w:p>
    <w:p>
      <w:pPr>
        <w:ind w:firstLine="632" w:firstLineChars="3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理由：</w:t>
      </w:r>
      <w:r>
        <w:rPr>
          <w:rFonts w:hint="eastAsia" w:ascii="宋体" w:hAnsi="宋体" w:cs="宋体"/>
          <w:szCs w:val="21"/>
        </w:rPr>
        <w:t>坚持以公有制为主体，多种所有制经济共同发展的基本经济制度；</w:t>
      </w:r>
    </w:p>
    <w:p>
      <w:pPr>
        <w:ind w:left="420" w:left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⑥措施：</w:t>
      </w:r>
      <w:r>
        <w:rPr>
          <w:rFonts w:hint="eastAsia" w:ascii="宋体" w:hAnsi="宋体" w:cs="宋体"/>
          <w:szCs w:val="21"/>
        </w:rPr>
        <w:t>石蟆镇始终坚持创新发展导向，以改革促发展；</w:t>
      </w:r>
    </w:p>
    <w:p>
      <w:pPr>
        <w:ind w:left="420" w:leftChars="200" w:firstLine="211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理由：</w:t>
      </w:r>
      <w:r>
        <w:rPr>
          <w:rFonts w:hint="eastAsia" w:ascii="宋体" w:hAnsi="宋体" w:cs="宋体"/>
          <w:szCs w:val="21"/>
        </w:rPr>
        <w:t>要坚持创新发展导向，以改革促发展，以改革之手激活创新引擎，释放更多创新活力；</w:t>
      </w:r>
    </w:p>
    <w:p>
      <w:pPr>
        <w:ind w:left="1259" w:leftChars="200" w:hanging="839" w:hangingChars="398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⑦措施：</w:t>
      </w:r>
      <w:r>
        <w:rPr>
          <w:rFonts w:hint="eastAsia" w:ascii="宋体" w:hAnsi="宋体" w:cs="宋体"/>
          <w:szCs w:val="21"/>
        </w:rPr>
        <w:t>石蟆镇搞家庭农场、智慧甘蔗林、生态橄榄园、电商集散中心等创新产业模式走创新发展道路；</w:t>
      </w:r>
    </w:p>
    <w:p>
      <w:pPr>
        <w:ind w:firstLine="422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理由：</w:t>
      </w:r>
      <w:r>
        <w:rPr>
          <w:rFonts w:hint="eastAsia" w:ascii="宋体" w:hAnsi="宋体" w:cs="宋体"/>
          <w:szCs w:val="21"/>
        </w:rPr>
        <w:t>石蟆镇弘扬创新精神，坚持创新驱动发展战略。</w:t>
      </w:r>
    </w:p>
    <w:p>
      <w:pPr>
        <w:ind w:firstLine="420" w:firstLineChars="200"/>
      </w:pPr>
      <w:r>
        <w:rPr>
          <w:rFonts w:hint="eastAsia" w:ascii="宋体" w:hAnsi="宋体" w:cs="宋体"/>
          <w:bCs/>
        </w:rPr>
        <w:t>（三个角度均要涉及，每个角度措施1分，理由1分，理由符合题意。</w:t>
      </w:r>
      <w:r>
        <w:rPr>
          <w:rFonts w:hint="eastAsia" w:ascii="宋体" w:hAnsi="宋体" w:cs="宋体"/>
          <w:szCs w:val="21"/>
        </w:rPr>
        <w:t>不结合材料扣1分。</w:t>
      </w:r>
      <w:r>
        <w:rPr>
          <w:rFonts w:hint="eastAsia" w:ascii="宋体" w:hAnsi="宋体" w:cs="宋体"/>
          <w:bCs/>
        </w:rPr>
        <w:t>）</w:t>
      </w:r>
    </w:p>
    <w:p>
      <w:pPr>
        <w:ind w:left="420" w:leftChars="200"/>
        <w:rPr>
          <w:rFonts w:ascii="宋体" w:hAnsi="宋体" w:cs="宋体"/>
          <w:szCs w:val="21"/>
        </w:rPr>
      </w:pPr>
    </w:p>
    <w:p>
      <w:pPr>
        <w:spacing w:before="156" w:beforeLines="50"/>
        <w:ind w:left="420" w:leftChars="200" w:firstLine="422" w:firstLineChars="200"/>
        <w:rPr>
          <w:rFonts w:ascii="宋体" w:hAnsi="宋体" w:cs="宋体"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注；非选择题属于开放性试题，答案是多元的。考生若从不同角度回答，只要符合题意，言之有理，均应酌情给分。</w:t>
      </w:r>
    </w:p>
    <w:p>
      <w:pPr>
        <w:spacing w:line="300" w:lineRule="auto"/>
        <w:jc w:val="center"/>
        <w:rPr>
          <w:rFonts w:ascii="黑体" w:hAnsi="黑体" w:eastAsia="黑体"/>
          <w:sz w:val="40"/>
          <w:szCs w:val="44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/>
    <w:p>
      <w:pPr>
        <w:sectPr>
          <w:headerReference r:id="rId3" w:type="default"/>
          <w:footerReference r:id="rId4" w:type="default"/>
          <w:pgSz w:w="11906" w:h="16838"/>
          <w:pgMar w:top="1134" w:right="1417" w:bottom="1134" w:left="1417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3DC8"/>
    <w:multiLevelType w:val="singleLevel"/>
    <w:tmpl w:val="4F323DC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BhY2I1YmQ3YjY4NDJhYzMzYTM1ZTlhYWQ0NTU5NjkifQ=="/>
  </w:docVars>
  <w:rsids>
    <w:rsidRoot w:val="000D671D"/>
    <w:rsid w:val="000918DE"/>
    <w:rsid w:val="000D671D"/>
    <w:rsid w:val="00124D15"/>
    <w:rsid w:val="00174EA7"/>
    <w:rsid w:val="002031C1"/>
    <w:rsid w:val="002F0F5B"/>
    <w:rsid w:val="003B136F"/>
    <w:rsid w:val="003D06EB"/>
    <w:rsid w:val="004151FC"/>
    <w:rsid w:val="00492EA2"/>
    <w:rsid w:val="004C5E66"/>
    <w:rsid w:val="004D2504"/>
    <w:rsid w:val="007C01CE"/>
    <w:rsid w:val="007E07A4"/>
    <w:rsid w:val="00897828"/>
    <w:rsid w:val="008E1273"/>
    <w:rsid w:val="00A55B33"/>
    <w:rsid w:val="00AD73DE"/>
    <w:rsid w:val="00C02FC6"/>
    <w:rsid w:val="00DA1E03"/>
    <w:rsid w:val="00FB2D8E"/>
    <w:rsid w:val="00FD0400"/>
    <w:rsid w:val="00FF4674"/>
    <w:rsid w:val="034A01B6"/>
    <w:rsid w:val="171B6BA0"/>
    <w:rsid w:val="17D662BB"/>
    <w:rsid w:val="1A5D14E7"/>
    <w:rsid w:val="1C5C7726"/>
    <w:rsid w:val="2DA91E52"/>
    <w:rsid w:val="2E6D3E37"/>
    <w:rsid w:val="377F416D"/>
    <w:rsid w:val="37AC2D98"/>
    <w:rsid w:val="3F3A5D1C"/>
    <w:rsid w:val="40E34227"/>
    <w:rsid w:val="449A0075"/>
    <w:rsid w:val="4A392C69"/>
    <w:rsid w:val="4C304D44"/>
    <w:rsid w:val="4E8264E7"/>
    <w:rsid w:val="5AEA71F2"/>
    <w:rsid w:val="5CD85DEB"/>
    <w:rsid w:val="7AA557F2"/>
    <w:rsid w:val="7D5F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0"/>
    <w:qFormat/>
    <w:uiPriority w:val="0"/>
    <w:pPr>
      <w:widowControl w:val="0"/>
    </w:pPr>
    <w:rPr>
      <w:rFonts w:asciiTheme="minorHAnsi" w:hAnsiTheme="minorHAnsi" w:eastAsiaTheme="minorEastAsia" w:cstheme="minorBidi"/>
      <w:szCs w:val="24"/>
    </w:rPr>
  </w:style>
  <w:style w:type="paragraph" w:styleId="3">
    <w:name w:val="toc 5"/>
    <w:basedOn w:val="1"/>
    <w:next w:val="1"/>
    <w:qFormat/>
    <w:uiPriority w:val="0"/>
    <w:pPr>
      <w:widowControl w:val="0"/>
      <w:wordWrap w:val="0"/>
      <w:ind w:left="1275"/>
    </w:pPr>
    <w:rPr>
      <w:rFonts w:ascii="宋体" w:hAnsi="宋体" w:eastAsia="Times New Roman" w:cstheme="minorBidi"/>
      <w:szCs w:val="24"/>
    </w:rPr>
  </w:style>
  <w:style w:type="paragraph" w:styleId="4">
    <w:name w:val="annotation text"/>
    <w:basedOn w:val="1"/>
    <w:link w:val="9"/>
    <w:unhideWhenUsed/>
    <w:qFormat/>
    <w:uiPriority w:val="99"/>
    <w:pPr>
      <w:widowControl w:val="0"/>
      <w:jc w:val="left"/>
    </w:pPr>
    <w:rPr>
      <w:rFonts w:ascii="等线" w:hAnsi="等线" w:eastAsia="等线"/>
      <w:szCs w:val="22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批注文字 Char"/>
    <w:basedOn w:val="8"/>
    <w:link w:val="4"/>
    <w:qFormat/>
    <w:uiPriority w:val="99"/>
    <w:rPr>
      <w:rFonts w:ascii="等线" w:hAnsi="等线" w:eastAsia="等线" w:cs="Times New Roman"/>
    </w:rPr>
  </w:style>
  <w:style w:type="character" w:customStyle="1" w:styleId="10">
    <w:name w:val="正文文本 Char"/>
    <w:basedOn w:val="8"/>
    <w:link w:val="2"/>
    <w:qFormat/>
    <w:uiPriority w:val="0"/>
    <w:rPr>
      <w:szCs w:val="24"/>
    </w:rPr>
  </w:style>
  <w:style w:type="character" w:customStyle="1" w:styleId="11">
    <w:name w:val="页眉 Char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335</Words>
  <Characters>1914</Characters>
  <Lines>15</Lines>
  <Paragraphs>4</Paragraphs>
  <TotalTime>1</TotalTime>
  <ScaleCrop>false</ScaleCrop>
  <LinksUpToDate>false</LinksUpToDate>
  <CharactersWithSpaces>2245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2022-12-26T07:01:00Z</dcterms:created>
  <dc:creator>周 浩</dc:creator>
  <cp:lastModifiedBy>Administrator</cp:lastModifiedBy>
  <dcterms:modified xsi:type="dcterms:W3CDTF">2023-01-05T02:10:18Z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