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7"/>
        <w:rPr>
          <w:rFonts w:asciiTheme="majorEastAsia" w:hAnsiTheme="majorEastAsia" w:eastAsiaTheme="majorEastAsia"/>
          <w:sz w:val="24"/>
        </w:rPr>
      </w:pPr>
      <w:r>
        <w:rPr>
          <w:rFonts w:hint="eastAsia" w:asciiTheme="majorEastAsia" w:hAnsiTheme="majorEastAsia" w:eastAsiaTheme="majorEastAsia"/>
          <w:sz w:val="24"/>
        </w:rPr>
        <w:pict>
          <v:shape id="_x0000_s1025" o:spid="_x0000_s1025" o:spt="75" type="#_x0000_t75" style="position:absolute;left:0pt;margin-left:813pt;margin-top:972pt;height:29pt;width:33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rPr>
          <w:rFonts w:hint="eastAsia" w:asciiTheme="majorEastAsia" w:hAnsiTheme="majorEastAsia" w:eastAsiaTheme="majorEastAsia"/>
          <w:sz w:val="24"/>
        </w:rPr>
        <w:t>八年级物理：质量与密度-复习题</w:t>
      </w:r>
    </w:p>
    <w:p>
      <w:pPr>
        <w:numPr>
          <w:ilvl w:val="0"/>
          <w:numId w:val="1"/>
        </w:numPr>
        <w:rPr>
          <w:b/>
          <w:bCs/>
        </w:rPr>
      </w:pPr>
      <w:r>
        <w:rPr>
          <w:rFonts w:hint="eastAsia"/>
          <w:b/>
          <w:bCs/>
        </w:rPr>
        <w:t>填空题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 xml:space="preserve">1.如图所示的量筒是以________为单位标度的，分度值是________；测量时，如果按如图所示那样读数，则读出的液体体积与真实值相比________(选填“偏大”“偏小”或“相等”)。 </w:t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969010" cy="948690"/>
            <wp:effectExtent l="0" t="0" r="2540" b="3810"/>
            <wp:docPr id="5" name="图片 5" descr="SD42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SD42.EPS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69010" cy="948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0" distR="0">
            <wp:extent cx="2041525" cy="854075"/>
            <wp:effectExtent l="0" t="0" r="15875" b="3175"/>
            <wp:docPr id="6" name="图片 6" descr="SD43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SD43.EPS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41525" cy="85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0" distR="0">
            <wp:extent cx="1866900" cy="739140"/>
            <wp:effectExtent l="0" t="0" r="0" b="3810"/>
            <wp:docPr id="7" name="图片 7" descr="4SED262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SED262.EPS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739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    1题图              2题图                        4题图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 xml:space="preserve">2.水平放置的天平如图所示，在使用前必须进行的调节是：首先将____________________，接着调节____________，使________平衡。 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3.体积为0.5 m</w:t>
      </w:r>
      <w:r>
        <w:rPr>
          <w:rFonts w:hint="eastAsia" w:hAnsi="宋体" w:cs="宋体"/>
          <w:vertAlign w:val="superscript"/>
        </w:rPr>
        <w:t>3</w:t>
      </w:r>
      <w:r>
        <w:rPr>
          <w:rFonts w:hint="eastAsia" w:hAnsi="宋体" w:cs="宋体"/>
        </w:rPr>
        <w:t>的钢瓶内装有密度为6 kg/m</w:t>
      </w:r>
      <w:r>
        <w:rPr>
          <w:rFonts w:hint="eastAsia" w:hAnsi="宋体" w:cs="宋体"/>
          <w:vertAlign w:val="superscript"/>
        </w:rPr>
        <w:t>3</w:t>
      </w:r>
      <w:r>
        <w:rPr>
          <w:rFonts w:hint="eastAsia" w:hAnsi="宋体" w:cs="宋体"/>
        </w:rPr>
        <w:t>的氧气，某次电焊中用去了其中的</w:t>
      </w:r>
      <w:r>
        <w:rPr>
          <w:rFonts w:hint="eastAsia" w:hAnsi="宋体" w:cs="宋体"/>
          <w:iCs/>
        </w:rPr>
        <w:t>三分之一</w:t>
      </w:r>
      <w:r>
        <w:rPr>
          <w:rFonts w:hint="eastAsia" w:hAnsi="宋体" w:cs="宋体"/>
        </w:rPr>
        <w:t>，则钢瓶内剩余氧气的质量为______kg，剩余氧气的密度为______kg/m</w:t>
      </w:r>
      <w:r>
        <w:rPr>
          <w:rFonts w:hint="eastAsia" w:hAnsi="宋体" w:cs="宋体"/>
          <w:vertAlign w:val="superscript"/>
        </w:rPr>
        <w:t>3</w:t>
      </w:r>
      <w:r>
        <w:rPr>
          <w:rFonts w:hint="eastAsia" w:hAnsi="宋体" w:cs="宋体"/>
        </w:rPr>
        <w:t>。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4.测量大米的密度时，小华发现米粒间有空隙，若把空隙的体积也算作大米的体积，将使密度的测量结果偏________。于是，他用一个饮料瓶装满水，拧上盖子，用天平测出总质量为143g，又测出48g大米，放入瓶中，擦干溢出的水，再测这时的总质量，天平平衡时，右盘中的砝码和游码位置如图所示，则总质量为________g，由此可算出这种大米的密度为________kg/m</w:t>
      </w:r>
      <w:r>
        <w:rPr>
          <w:rFonts w:hint="eastAsia" w:hAnsi="宋体" w:cs="宋体"/>
          <w:vertAlign w:val="superscript"/>
        </w:rPr>
        <w:t>3</w:t>
      </w:r>
      <w:r>
        <w:rPr>
          <w:rFonts w:hint="eastAsia" w:hAnsi="宋体" w:cs="宋体"/>
        </w:rPr>
        <w:t>。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5.容积为250 mL的容器，装满水后的总质量为300 g，则容器质量为__________g；若装满另一种液体后的总质量为250 g，则这种液体的密度为__________g/cm</w:t>
      </w:r>
      <w:r>
        <w:rPr>
          <w:rFonts w:hint="eastAsia" w:hAnsi="宋体" w:cs="宋体"/>
          <w:vertAlign w:val="superscript"/>
        </w:rPr>
        <w:t>3</w:t>
      </w:r>
      <w:r>
        <w:rPr>
          <w:rFonts w:hint="eastAsia" w:hAnsi="宋体" w:cs="宋体"/>
        </w:rPr>
        <w:t>。</w:t>
      </w:r>
    </w:p>
    <w:p>
      <w:pPr>
        <w:rPr>
          <w:b/>
          <w:bCs/>
        </w:rPr>
      </w:pPr>
      <w:r>
        <w:rPr>
          <w:rFonts w:hint="eastAsia"/>
          <w:b/>
          <w:bCs/>
        </w:rPr>
        <w:t>二、选择题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6．如表是部分物质的密度，小刚由此提出了对密度的一些看法，你认为正确的是(　　)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A.固态物质的密度一定比液态物质的密度大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B.同种物质的密度一定相同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C.体积相同的实心铜块和铝块，铜块的质量大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D.密度跟物质质量成正比，跟体积成反比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7．有一体积为20 cm</w:t>
      </w:r>
      <w:r>
        <w:rPr>
          <w:rFonts w:hint="eastAsia" w:hAnsi="宋体" w:cs="宋体"/>
          <w:vertAlign w:val="superscript"/>
        </w:rPr>
        <w:t>3</w:t>
      </w:r>
      <w:r>
        <w:rPr>
          <w:rFonts w:hint="eastAsia" w:hAnsi="宋体" w:cs="宋体"/>
        </w:rPr>
        <w:t>的均匀固体，用天平测得它的质量为160 g，下列说法正确的是(　　)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A.用天平测它的质量时，砝码应放在天平左盘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B.此固体的密度为8×10</w:t>
      </w:r>
      <w:r>
        <w:rPr>
          <w:rFonts w:hint="eastAsia" w:hAnsi="宋体" w:cs="宋体"/>
          <w:vertAlign w:val="superscript"/>
        </w:rPr>
        <w:t>3</w:t>
      </w:r>
      <w:r>
        <w:rPr>
          <w:rFonts w:hint="eastAsia" w:hAnsi="宋体" w:cs="宋体"/>
        </w:rPr>
        <w:t xml:space="preserve"> kg/m</w:t>
      </w:r>
      <w:r>
        <w:rPr>
          <w:rFonts w:hint="eastAsia" w:hAnsi="宋体" w:cs="宋体"/>
          <w:vertAlign w:val="superscript"/>
        </w:rPr>
        <w:t>3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C.把此固体带到月球上，质量变为原来的1/6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D.把此固体截去一半，剩余部分密度为4×10</w:t>
      </w:r>
      <w:r>
        <w:rPr>
          <w:rFonts w:hint="eastAsia" w:hAnsi="宋体" w:cs="宋体"/>
          <w:vertAlign w:val="superscript"/>
        </w:rPr>
        <w:t>3</w:t>
      </w:r>
      <w:r>
        <w:rPr>
          <w:rFonts w:hint="eastAsia" w:hAnsi="宋体" w:cs="宋体"/>
        </w:rPr>
        <w:t xml:space="preserve"> kg/m</w:t>
      </w:r>
      <w:r>
        <w:rPr>
          <w:rFonts w:hint="eastAsia" w:hAnsi="宋体" w:cs="宋体"/>
          <w:vertAlign w:val="superscript"/>
        </w:rPr>
        <w:t>3</w:t>
      </w:r>
    </w:p>
    <w:tbl>
      <w:tblPr>
        <w:tblStyle w:val="9"/>
        <w:tblpPr w:leftFromText="180" w:rightFromText="180" w:vertAnchor="text" w:horzAnchor="page" w:tblpX="1648" w:tblpY="188"/>
        <w:tblOverlap w:val="never"/>
        <w:tblW w:w="421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70"/>
        <w:gridCol w:w="1162"/>
        <w:gridCol w:w="1026"/>
        <w:gridCol w:w="105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15" w:type="dxa"/>
            <w:gridSpan w:val="4"/>
            <w:shd w:val="clear" w:color="auto" w:fill="auto"/>
            <w:vAlign w:val="center"/>
          </w:tcPr>
          <w:p>
            <w:pPr>
              <w:pStyle w:val="3"/>
              <w:wordWrap w:val="0"/>
              <w:jc w:val="center"/>
              <w:rPr>
                <w:rFonts w:hAnsi="宋体" w:cs="宋体"/>
              </w:rPr>
            </w:pPr>
            <w:r>
              <w:rPr>
                <w:rFonts w:hint="eastAsia" w:hAnsi="宋体" w:cs="宋体"/>
              </w:rPr>
              <w:t>常温常压下部分物质的密度/(kg·m</w:t>
            </w:r>
            <w:r>
              <w:rPr>
                <w:rFonts w:hint="eastAsia" w:hAnsi="宋体" w:cs="宋体"/>
                <w:vertAlign w:val="superscript"/>
              </w:rPr>
              <w:t>－3</w:t>
            </w:r>
            <w:r>
              <w:rPr>
                <w:rFonts w:hint="eastAsia" w:hAnsi="宋体" w:cs="宋体"/>
              </w:rPr>
              <w:t>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70" w:type="dxa"/>
            <w:shd w:val="clear" w:color="auto" w:fill="auto"/>
            <w:vAlign w:val="center"/>
          </w:tcPr>
          <w:p>
            <w:pPr>
              <w:pStyle w:val="3"/>
              <w:wordWrap w:val="0"/>
              <w:jc w:val="center"/>
              <w:rPr>
                <w:rFonts w:hAnsi="宋体" w:cs="宋体"/>
                <w:i/>
              </w:rPr>
            </w:pPr>
            <w:r>
              <w:rPr>
                <w:rFonts w:hint="eastAsia" w:hAnsi="宋体" w:cs="宋体"/>
              </w:rPr>
              <w:t>水</w:t>
            </w:r>
          </w:p>
        </w:tc>
        <w:tc>
          <w:tcPr>
            <w:tcW w:w="1162" w:type="dxa"/>
            <w:shd w:val="clear" w:color="auto" w:fill="auto"/>
            <w:vAlign w:val="center"/>
          </w:tcPr>
          <w:p>
            <w:pPr>
              <w:pStyle w:val="3"/>
              <w:wordWrap w:val="0"/>
              <w:jc w:val="center"/>
              <w:rPr>
                <w:rFonts w:hAnsi="宋体" w:cs="宋体"/>
                <w:i/>
              </w:rPr>
            </w:pPr>
            <w:r>
              <w:rPr>
                <w:rFonts w:hint="eastAsia" w:hAnsi="宋体" w:cs="宋体"/>
              </w:rPr>
              <w:t>1.0×10</w:t>
            </w:r>
            <w:r>
              <w:rPr>
                <w:rFonts w:hint="eastAsia" w:hAnsi="宋体" w:cs="宋体"/>
                <w:vertAlign w:val="superscript"/>
              </w:rPr>
              <w:t>3</w:t>
            </w:r>
          </w:p>
        </w:tc>
        <w:tc>
          <w:tcPr>
            <w:tcW w:w="1026" w:type="dxa"/>
            <w:shd w:val="clear" w:color="auto" w:fill="auto"/>
            <w:vAlign w:val="center"/>
          </w:tcPr>
          <w:p>
            <w:pPr>
              <w:pStyle w:val="3"/>
              <w:wordWrap w:val="0"/>
              <w:jc w:val="center"/>
              <w:rPr>
                <w:rFonts w:hAnsi="宋体" w:cs="宋体"/>
                <w:i/>
              </w:rPr>
            </w:pPr>
            <w:r>
              <w:rPr>
                <w:rFonts w:hint="eastAsia" w:hAnsi="宋体" w:cs="宋体"/>
              </w:rPr>
              <w:t>冰</w:t>
            </w:r>
          </w:p>
        </w:tc>
        <w:tc>
          <w:tcPr>
            <w:tcW w:w="1057" w:type="dxa"/>
            <w:shd w:val="clear" w:color="auto" w:fill="auto"/>
            <w:vAlign w:val="center"/>
          </w:tcPr>
          <w:p>
            <w:pPr>
              <w:pStyle w:val="3"/>
              <w:wordWrap w:val="0"/>
              <w:jc w:val="center"/>
              <w:rPr>
                <w:rFonts w:hAnsi="宋体" w:cs="宋体"/>
              </w:rPr>
            </w:pPr>
            <w:r>
              <w:rPr>
                <w:rFonts w:hint="eastAsia" w:hAnsi="宋体" w:cs="宋体"/>
              </w:rPr>
              <w:t>0.9×10</w:t>
            </w:r>
            <w:r>
              <w:rPr>
                <w:rFonts w:hint="eastAsia" w:hAnsi="宋体" w:cs="宋体"/>
                <w:vertAlign w:val="superscript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70" w:type="dxa"/>
            <w:shd w:val="clear" w:color="auto" w:fill="auto"/>
            <w:vAlign w:val="center"/>
          </w:tcPr>
          <w:p>
            <w:pPr>
              <w:pStyle w:val="3"/>
              <w:wordWrap w:val="0"/>
              <w:jc w:val="center"/>
              <w:rPr>
                <w:rFonts w:hAnsi="宋体" w:cs="宋体"/>
                <w:i/>
              </w:rPr>
            </w:pPr>
            <w:r>
              <w:rPr>
                <w:rFonts w:hint="eastAsia" w:hAnsi="宋体" w:cs="宋体"/>
              </w:rPr>
              <w:t>水银</w:t>
            </w:r>
          </w:p>
        </w:tc>
        <w:tc>
          <w:tcPr>
            <w:tcW w:w="1162" w:type="dxa"/>
            <w:shd w:val="clear" w:color="auto" w:fill="auto"/>
            <w:vAlign w:val="center"/>
          </w:tcPr>
          <w:p>
            <w:pPr>
              <w:pStyle w:val="3"/>
              <w:wordWrap w:val="0"/>
              <w:jc w:val="center"/>
              <w:rPr>
                <w:rFonts w:hAnsi="宋体" w:cs="宋体"/>
                <w:i/>
              </w:rPr>
            </w:pPr>
            <w:r>
              <w:rPr>
                <w:rFonts w:hint="eastAsia" w:hAnsi="宋体" w:cs="宋体"/>
              </w:rPr>
              <w:t>13.6×10</w:t>
            </w:r>
            <w:r>
              <w:rPr>
                <w:rFonts w:hint="eastAsia" w:hAnsi="宋体" w:cs="宋体"/>
                <w:vertAlign w:val="superscript"/>
              </w:rPr>
              <w:t>3</w:t>
            </w:r>
          </w:p>
        </w:tc>
        <w:tc>
          <w:tcPr>
            <w:tcW w:w="1026" w:type="dxa"/>
            <w:shd w:val="clear" w:color="auto" w:fill="auto"/>
            <w:vAlign w:val="center"/>
          </w:tcPr>
          <w:p>
            <w:pPr>
              <w:pStyle w:val="3"/>
              <w:wordWrap w:val="0"/>
              <w:jc w:val="center"/>
              <w:rPr>
                <w:rFonts w:hAnsi="宋体" w:cs="宋体"/>
                <w:i/>
              </w:rPr>
            </w:pPr>
            <w:r>
              <w:rPr>
                <w:rFonts w:hint="eastAsia" w:hAnsi="宋体" w:cs="宋体"/>
              </w:rPr>
              <w:t>干松木</w:t>
            </w:r>
          </w:p>
        </w:tc>
        <w:tc>
          <w:tcPr>
            <w:tcW w:w="1057" w:type="dxa"/>
            <w:shd w:val="clear" w:color="auto" w:fill="auto"/>
            <w:vAlign w:val="center"/>
          </w:tcPr>
          <w:p>
            <w:pPr>
              <w:pStyle w:val="3"/>
              <w:wordWrap w:val="0"/>
              <w:jc w:val="center"/>
              <w:rPr>
                <w:rFonts w:hAnsi="宋体" w:cs="宋体"/>
              </w:rPr>
            </w:pPr>
            <w:r>
              <w:rPr>
                <w:rFonts w:hint="eastAsia" w:hAnsi="宋体" w:cs="宋体"/>
              </w:rPr>
              <w:t>0.5×10</w:t>
            </w:r>
            <w:r>
              <w:rPr>
                <w:rFonts w:hint="eastAsia" w:hAnsi="宋体" w:cs="宋体"/>
                <w:vertAlign w:val="superscript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70" w:type="dxa"/>
            <w:shd w:val="clear" w:color="auto" w:fill="auto"/>
            <w:vAlign w:val="center"/>
          </w:tcPr>
          <w:p>
            <w:pPr>
              <w:pStyle w:val="3"/>
              <w:wordWrap w:val="0"/>
              <w:jc w:val="center"/>
              <w:rPr>
                <w:rFonts w:hAnsi="宋体" w:cs="宋体"/>
                <w:i/>
              </w:rPr>
            </w:pPr>
            <w:r>
              <w:rPr>
                <w:rFonts w:hint="eastAsia" w:hAnsi="宋体" w:cs="宋体"/>
              </w:rPr>
              <w:t>酒精</w:t>
            </w:r>
          </w:p>
        </w:tc>
        <w:tc>
          <w:tcPr>
            <w:tcW w:w="1162" w:type="dxa"/>
            <w:shd w:val="clear" w:color="auto" w:fill="auto"/>
            <w:vAlign w:val="center"/>
          </w:tcPr>
          <w:p>
            <w:pPr>
              <w:pStyle w:val="3"/>
              <w:wordWrap w:val="0"/>
              <w:jc w:val="center"/>
              <w:rPr>
                <w:rFonts w:hAnsi="宋体" w:cs="宋体"/>
                <w:i/>
              </w:rPr>
            </w:pPr>
            <w:r>
              <w:rPr>
                <w:rFonts w:hint="eastAsia" w:hAnsi="宋体" w:cs="宋体"/>
              </w:rPr>
              <w:t>0.8×10</w:t>
            </w:r>
            <w:r>
              <w:rPr>
                <w:rFonts w:hint="eastAsia" w:hAnsi="宋体" w:cs="宋体"/>
                <w:vertAlign w:val="superscript"/>
              </w:rPr>
              <w:t>3</w:t>
            </w:r>
          </w:p>
        </w:tc>
        <w:tc>
          <w:tcPr>
            <w:tcW w:w="1026" w:type="dxa"/>
            <w:shd w:val="clear" w:color="auto" w:fill="auto"/>
            <w:vAlign w:val="center"/>
          </w:tcPr>
          <w:p>
            <w:pPr>
              <w:pStyle w:val="3"/>
              <w:wordWrap w:val="0"/>
              <w:jc w:val="center"/>
              <w:rPr>
                <w:rFonts w:hAnsi="宋体" w:cs="宋体"/>
                <w:i/>
              </w:rPr>
            </w:pPr>
            <w:r>
              <w:rPr>
                <w:rFonts w:hint="eastAsia" w:hAnsi="宋体" w:cs="宋体"/>
              </w:rPr>
              <w:t>铜</w:t>
            </w:r>
          </w:p>
        </w:tc>
        <w:tc>
          <w:tcPr>
            <w:tcW w:w="1057" w:type="dxa"/>
            <w:shd w:val="clear" w:color="auto" w:fill="auto"/>
            <w:vAlign w:val="center"/>
          </w:tcPr>
          <w:p>
            <w:pPr>
              <w:pStyle w:val="3"/>
              <w:wordWrap w:val="0"/>
              <w:jc w:val="center"/>
              <w:rPr>
                <w:rFonts w:hAnsi="宋体" w:cs="宋体"/>
              </w:rPr>
            </w:pPr>
            <w:r>
              <w:rPr>
                <w:rFonts w:hint="eastAsia" w:hAnsi="宋体" w:cs="宋体"/>
              </w:rPr>
              <w:t>8.9×10</w:t>
            </w:r>
            <w:r>
              <w:rPr>
                <w:rFonts w:hint="eastAsia" w:hAnsi="宋体" w:cs="宋体"/>
                <w:vertAlign w:val="superscript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70" w:type="dxa"/>
            <w:shd w:val="clear" w:color="auto" w:fill="auto"/>
            <w:vAlign w:val="center"/>
          </w:tcPr>
          <w:p>
            <w:pPr>
              <w:pStyle w:val="3"/>
              <w:wordWrap w:val="0"/>
              <w:jc w:val="center"/>
              <w:rPr>
                <w:rFonts w:hAnsi="宋体" w:cs="宋体"/>
                <w:i/>
              </w:rPr>
            </w:pPr>
            <w:r>
              <w:rPr>
                <w:rFonts w:hint="eastAsia" w:hAnsi="宋体" w:cs="宋体"/>
              </w:rPr>
              <w:t>煤油</w:t>
            </w:r>
          </w:p>
        </w:tc>
        <w:tc>
          <w:tcPr>
            <w:tcW w:w="1162" w:type="dxa"/>
            <w:shd w:val="clear" w:color="auto" w:fill="auto"/>
            <w:vAlign w:val="center"/>
          </w:tcPr>
          <w:p>
            <w:pPr>
              <w:pStyle w:val="3"/>
              <w:wordWrap w:val="0"/>
              <w:jc w:val="center"/>
              <w:rPr>
                <w:rFonts w:hAnsi="宋体" w:cs="宋体"/>
                <w:i/>
              </w:rPr>
            </w:pPr>
            <w:r>
              <w:rPr>
                <w:rFonts w:hint="eastAsia" w:hAnsi="宋体" w:cs="宋体"/>
              </w:rPr>
              <w:t>0.8×10</w:t>
            </w:r>
            <w:r>
              <w:rPr>
                <w:rFonts w:hint="eastAsia" w:hAnsi="宋体" w:cs="宋体"/>
                <w:vertAlign w:val="superscript"/>
              </w:rPr>
              <w:t>3</w:t>
            </w:r>
          </w:p>
        </w:tc>
        <w:tc>
          <w:tcPr>
            <w:tcW w:w="1026" w:type="dxa"/>
            <w:shd w:val="clear" w:color="auto" w:fill="auto"/>
            <w:vAlign w:val="center"/>
          </w:tcPr>
          <w:p>
            <w:pPr>
              <w:pStyle w:val="3"/>
              <w:wordWrap w:val="0"/>
              <w:jc w:val="center"/>
              <w:rPr>
                <w:rFonts w:hAnsi="宋体" w:cs="宋体"/>
                <w:i/>
              </w:rPr>
            </w:pPr>
            <w:r>
              <w:rPr>
                <w:rFonts w:hint="eastAsia" w:hAnsi="宋体" w:cs="宋体"/>
              </w:rPr>
              <w:t>铝</w:t>
            </w:r>
          </w:p>
        </w:tc>
        <w:tc>
          <w:tcPr>
            <w:tcW w:w="1057" w:type="dxa"/>
            <w:shd w:val="clear" w:color="auto" w:fill="auto"/>
            <w:vAlign w:val="center"/>
          </w:tcPr>
          <w:p>
            <w:pPr>
              <w:pStyle w:val="3"/>
              <w:wordWrap w:val="0"/>
              <w:jc w:val="center"/>
              <w:rPr>
                <w:rFonts w:hAnsi="宋体" w:cs="宋体"/>
              </w:rPr>
            </w:pPr>
            <w:r>
              <w:rPr>
                <w:rFonts w:hint="eastAsia" w:hAnsi="宋体" w:cs="宋体"/>
              </w:rPr>
              <w:t>2.7×10</w:t>
            </w:r>
            <w:r>
              <w:rPr>
                <w:rFonts w:hint="eastAsia" w:hAnsi="宋体" w:cs="宋体"/>
                <w:vertAlign w:val="superscript"/>
              </w:rPr>
              <w:t>3</w:t>
            </w:r>
          </w:p>
        </w:tc>
      </w:tr>
    </w:tbl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column">
              <wp:posOffset>48260</wp:posOffset>
            </wp:positionH>
            <wp:positionV relativeFrom="paragraph">
              <wp:posOffset>118110</wp:posOffset>
            </wp:positionV>
            <wp:extent cx="1752600" cy="1200150"/>
            <wp:effectExtent l="19050" t="0" r="0" b="0"/>
            <wp:wrapTight wrapText="bothSides">
              <wp:wrapPolygon>
                <wp:start x="939" y="0"/>
                <wp:lineTo x="704" y="5143"/>
                <wp:lineTo x="-235" y="6171"/>
                <wp:lineTo x="-235" y="7543"/>
                <wp:lineTo x="939" y="10971"/>
                <wp:lineTo x="0" y="12343"/>
                <wp:lineTo x="0" y="13714"/>
                <wp:lineTo x="939" y="16457"/>
                <wp:lineTo x="-235" y="17486"/>
                <wp:lineTo x="704" y="21257"/>
                <wp:lineTo x="18548" y="21257"/>
                <wp:lineTo x="21600" y="21257"/>
                <wp:lineTo x="21600" y="19886"/>
                <wp:lineTo x="19722" y="17829"/>
                <wp:lineTo x="17139" y="16457"/>
                <wp:lineTo x="17139" y="10971"/>
                <wp:lineTo x="18313" y="5143"/>
                <wp:lineTo x="15965" y="3429"/>
                <wp:lineTo x="9626" y="0"/>
                <wp:lineTo x="939" y="0"/>
              </wp:wrapPolygon>
            </wp:wrapTight>
            <wp:docPr id="2" name="图片 2" descr="5RW216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RW216.eps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3"/>
        <w:rPr>
          <w:rFonts w:hAnsi="宋体" w:cs="宋体"/>
        </w:rPr>
      </w:pPr>
    </w:p>
    <w:p>
      <w:pPr>
        <w:pStyle w:val="3"/>
        <w:rPr>
          <w:rFonts w:hAnsi="宋体" w:cs="宋体"/>
        </w:rPr>
      </w:pPr>
    </w:p>
    <w:p>
      <w:pPr>
        <w:pStyle w:val="3"/>
        <w:rPr>
          <w:rFonts w:hAnsi="宋体" w:cs="宋体"/>
        </w:rPr>
      </w:pPr>
    </w:p>
    <w:p>
      <w:pPr>
        <w:pStyle w:val="3"/>
        <w:rPr>
          <w:rFonts w:hAnsi="宋体" w:cs="宋体"/>
        </w:rPr>
      </w:pPr>
    </w:p>
    <w:p>
      <w:pPr>
        <w:pStyle w:val="3"/>
        <w:rPr>
          <w:rFonts w:hAnsi="宋体" w:cs="宋体"/>
        </w:rPr>
      </w:pPr>
    </w:p>
    <w:p>
      <w:pPr>
        <w:pStyle w:val="3"/>
        <w:spacing w:line="240" w:lineRule="atLeast"/>
        <w:rPr>
          <w:rFonts w:hAnsi="宋体" w:cs="宋体"/>
        </w:rPr>
      </w:pPr>
      <w:r>
        <w:rPr>
          <w:rFonts w:hint="eastAsia" w:hAnsi="宋体" w:cs="宋体"/>
        </w:rPr>
        <w:t xml:space="preserve">                  6题图表                                8题图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8.</w:t>
      </w:r>
      <w:r>
        <w:rPr>
          <w:rFonts w:hint="eastAsia" w:hAnsi="宋体" w:cs="宋体"/>
          <w:i/>
        </w:rPr>
        <w:t>a</w:t>
      </w:r>
      <w:r>
        <w:rPr>
          <w:rFonts w:hint="eastAsia" w:hAnsi="宋体" w:cs="宋体"/>
        </w:rPr>
        <w:t>、</w:t>
      </w:r>
      <w:r>
        <w:rPr>
          <w:rFonts w:hint="eastAsia" w:hAnsi="宋体" w:cs="宋体"/>
          <w:i/>
        </w:rPr>
        <w:t>b</w:t>
      </w:r>
      <w:r>
        <w:rPr>
          <w:rFonts w:hint="eastAsia" w:hAnsi="宋体" w:cs="宋体"/>
        </w:rPr>
        <w:t>两个实心物体的质量与体积的关系如图所示。下列说法正确的是(　　)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A.</w:t>
      </w:r>
      <w:r>
        <w:rPr>
          <w:rFonts w:hint="eastAsia" w:hAnsi="宋体" w:cs="宋体"/>
          <w:i/>
        </w:rPr>
        <w:t>a</w:t>
      </w:r>
      <w:r>
        <w:rPr>
          <w:rFonts w:hint="eastAsia" w:hAnsi="宋体" w:cs="宋体"/>
        </w:rPr>
        <w:t>物质的密度比</w:t>
      </w:r>
      <w:r>
        <w:rPr>
          <w:rFonts w:hint="eastAsia" w:hAnsi="宋体" w:cs="宋体"/>
          <w:i/>
        </w:rPr>
        <w:t>b</w:t>
      </w:r>
      <w:r>
        <w:rPr>
          <w:rFonts w:hint="eastAsia" w:hAnsi="宋体" w:cs="宋体"/>
        </w:rPr>
        <w:t>的大        B.</w:t>
      </w:r>
      <w:r>
        <w:rPr>
          <w:rFonts w:hint="eastAsia" w:hAnsi="宋体" w:cs="宋体"/>
          <w:i/>
        </w:rPr>
        <w:t>b</w:t>
      </w:r>
      <w:r>
        <w:rPr>
          <w:rFonts w:hint="eastAsia" w:hAnsi="宋体" w:cs="宋体"/>
        </w:rPr>
        <w:t>物质的密度是2×10</w:t>
      </w:r>
      <w:r>
        <w:rPr>
          <w:rFonts w:hint="eastAsia" w:hAnsi="宋体" w:cs="宋体"/>
          <w:vertAlign w:val="superscript"/>
        </w:rPr>
        <w:t>3</w:t>
      </w:r>
      <w:r>
        <w:rPr>
          <w:rFonts w:hint="eastAsia" w:hAnsi="宋体" w:cs="宋体"/>
        </w:rPr>
        <w:t xml:space="preserve"> kg/m</w:t>
      </w:r>
      <w:r>
        <w:rPr>
          <w:rFonts w:hint="eastAsia" w:hAnsi="宋体" w:cs="宋体"/>
          <w:vertAlign w:val="superscript"/>
        </w:rPr>
        <w:t>3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C.</w:t>
      </w:r>
      <w:r>
        <w:rPr>
          <w:rFonts w:hint="eastAsia" w:hAnsi="宋体" w:cs="宋体"/>
          <w:i/>
        </w:rPr>
        <w:t>b</w:t>
      </w:r>
      <w:r>
        <w:rPr>
          <w:rFonts w:hint="eastAsia" w:hAnsi="宋体" w:cs="宋体"/>
        </w:rPr>
        <w:t>物质的密度是</w:t>
      </w:r>
      <w:r>
        <w:rPr>
          <w:rFonts w:hint="eastAsia" w:hAnsi="宋体" w:cs="宋体"/>
          <w:i/>
        </w:rPr>
        <w:t>a</w:t>
      </w:r>
      <w:r>
        <w:rPr>
          <w:rFonts w:hint="eastAsia" w:hAnsi="宋体" w:cs="宋体"/>
        </w:rPr>
        <w:t>的2倍      D.</w:t>
      </w:r>
      <w:r>
        <w:rPr>
          <w:rFonts w:hint="eastAsia" w:hAnsi="宋体" w:cs="宋体"/>
          <w:i/>
        </w:rPr>
        <w:t>a</w:t>
      </w:r>
      <w:r>
        <w:rPr>
          <w:rFonts w:hint="eastAsia" w:hAnsi="宋体" w:cs="宋体"/>
        </w:rPr>
        <w:t>、</w:t>
      </w:r>
      <w:r>
        <w:rPr>
          <w:rFonts w:hint="eastAsia" w:hAnsi="宋体" w:cs="宋体"/>
          <w:i/>
        </w:rPr>
        <w:t>b</w:t>
      </w:r>
      <w:r>
        <w:rPr>
          <w:rFonts w:hint="eastAsia" w:hAnsi="宋体" w:cs="宋体"/>
        </w:rPr>
        <w:t>的密度与它们的质量、体积有关</w:t>
      </w:r>
    </w:p>
    <w:p>
      <w:pPr>
        <w:rPr>
          <w:rFonts w:ascii="宋体" w:hAnsi="宋体" w:eastAsia="宋体" w:cs="宋体"/>
          <w:b/>
          <w:bCs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>三、简答题</w:t>
      </w:r>
    </w:p>
    <w:p>
      <w:pPr>
        <w:rPr>
          <w:rFonts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9.</w:t>
      </w:r>
      <w:r>
        <w:rPr>
          <w:rFonts w:ascii="宋体" w:hAnsi="宋体" w:eastAsia="宋体" w:cs="宋体"/>
          <w:szCs w:val="21"/>
        </w:rPr>
        <w:t>室内发生火灾时</w:t>
      </w:r>
      <w:r>
        <w:rPr>
          <w:rFonts w:hint="eastAsia" w:ascii="宋体" w:hAnsi="宋体" w:eastAsia="宋体" w:cs="宋体"/>
          <w:szCs w:val="21"/>
        </w:rPr>
        <w:t>：</w:t>
      </w:r>
    </w:p>
    <w:p>
      <w:pPr>
        <w:rPr>
          <w:rFonts w:ascii="宋体" w:hAnsi="宋体" w:eastAsia="宋体" w:cs="宋体"/>
          <w:szCs w:val="21"/>
        </w:rPr>
      </w:pPr>
      <w:r>
        <w:rPr>
          <w:rFonts w:ascii="宋体" w:hAnsi="宋体" w:eastAsia="宋体" w:cs="宋体"/>
          <w:szCs w:val="21"/>
        </w:rPr>
        <w:t>(1)受困人员应采取弯腰匍匐还是直立的姿势撤离，以尽量减少吸入有害气体?</w:t>
      </w:r>
    </w:p>
    <w:p>
      <w:pPr>
        <w:rPr>
          <w:rFonts w:ascii="宋体" w:hAnsi="宋体" w:eastAsia="宋体" w:cs="宋体"/>
          <w:szCs w:val="21"/>
        </w:rPr>
      </w:pPr>
    </w:p>
    <w:p>
      <w:pPr>
        <w:rPr>
          <w:rFonts w:ascii="宋体" w:hAnsi="宋体" w:eastAsia="宋体" w:cs="宋体"/>
          <w:szCs w:val="21"/>
        </w:rPr>
      </w:pPr>
      <w:r>
        <w:rPr>
          <w:rFonts w:ascii="宋体" w:hAnsi="宋体" w:eastAsia="宋体" w:cs="宋体"/>
          <w:szCs w:val="21"/>
        </w:rPr>
        <w:t>(2) 请你用学过的物理知识解释其中的道理</w:t>
      </w:r>
      <w:r>
        <w:rPr>
          <w:rFonts w:hint="eastAsia" w:ascii="宋体" w:hAnsi="宋体" w:eastAsia="宋体" w:cs="宋体"/>
          <w:szCs w:val="21"/>
        </w:rPr>
        <w:t>。</w:t>
      </w:r>
    </w:p>
    <w:p>
      <w:pPr>
        <w:rPr>
          <w:rFonts w:ascii="宋体" w:hAnsi="宋体" w:eastAsia="宋体" w:cs="宋体"/>
          <w:szCs w:val="21"/>
        </w:rPr>
      </w:pPr>
    </w:p>
    <w:p>
      <w:pPr>
        <w:numPr>
          <w:ilvl w:val="0"/>
          <w:numId w:val="2"/>
        </w:numPr>
        <w:rPr>
          <w:rFonts w:ascii="宋体" w:hAnsi="宋体" w:eastAsia="宋体" w:cs="宋体"/>
          <w:b/>
          <w:bCs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>实验题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drawing>
          <wp:anchor distT="0" distB="0" distL="0" distR="0" simplePos="0" relativeHeight="251660288" behindDoc="1" locked="0" layoutInCell="1" allowOverlap="1">
            <wp:simplePos x="0" y="0"/>
            <wp:positionH relativeFrom="column">
              <wp:posOffset>2423160</wp:posOffset>
            </wp:positionH>
            <wp:positionV relativeFrom="paragraph">
              <wp:posOffset>34290</wp:posOffset>
            </wp:positionV>
            <wp:extent cx="2855595" cy="1085850"/>
            <wp:effectExtent l="19050" t="0" r="1905" b="0"/>
            <wp:wrapSquare wrapText="bothSides"/>
            <wp:docPr id="10" name="图片 10" descr="8RD155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8RD155.EPS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5559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hAnsi="宋体" w:cs="宋体"/>
        </w:rPr>
        <w:t>10.小杜同学在长江边捡到了一块漂亮的鹅卵石，他用天平和量筒测量鹅卵石的密度。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(1)如甲所示，小杜在调节天平横梁平衡过程中的操作错误是</w:t>
      </w:r>
      <w:r>
        <w:rPr>
          <w:rFonts w:hint="eastAsia" w:hAnsi="宋体" w:cs="宋体"/>
          <w:u w:val="single"/>
        </w:rPr>
        <w:t xml:space="preserve">    </w:t>
      </w:r>
      <w:r>
        <w:rPr>
          <w:rFonts w:hint="eastAsia" w:hAnsi="宋体" w:cs="宋体"/>
          <w:u w:val="single"/>
          <w:lang w:val="en-US" w:eastAsia="zh-CN"/>
        </w:rPr>
        <w:t xml:space="preserve">         </w:t>
      </w:r>
      <w:r>
        <w:rPr>
          <w:rFonts w:hint="eastAsia" w:hAnsi="宋体" w:cs="宋体"/>
          <w:u w:val="single"/>
        </w:rPr>
        <w:t xml:space="preserve">      </w:t>
      </w:r>
      <w:r>
        <w:rPr>
          <w:rFonts w:hint="eastAsia" w:hAnsi="宋体" w:cs="宋体"/>
        </w:rPr>
        <w:t>。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(2)小杜纠正错误后，重新调节天平平衡并测量鹅卵石的质量，当天平平衡时右盘砝码和游码在标尺上的位置如乙所示，鹅卵石的质量为________g；由丙和丁可知鹅卵石的体积是________cm</w:t>
      </w:r>
      <w:r>
        <w:rPr>
          <w:rFonts w:hint="eastAsia" w:hAnsi="宋体" w:cs="宋体"/>
          <w:vertAlign w:val="superscript"/>
        </w:rPr>
        <w:t>3</w:t>
      </w:r>
      <w:r>
        <w:rPr>
          <w:rFonts w:hint="eastAsia" w:hAnsi="宋体" w:cs="宋体"/>
        </w:rPr>
        <w:t>，计算出鹅卵石的密度为________g/cm</w:t>
      </w:r>
      <w:r>
        <w:rPr>
          <w:rFonts w:hint="eastAsia" w:hAnsi="宋体" w:cs="宋体"/>
          <w:vertAlign w:val="superscript"/>
        </w:rPr>
        <w:t>3</w:t>
      </w:r>
      <w:r>
        <w:rPr>
          <w:rFonts w:hint="eastAsia" w:hAnsi="宋体" w:cs="宋体"/>
        </w:rPr>
        <w:t>。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(3)鹅卵石磨损后，它的密度将________(选填“变大”“变小”或“不变”)。</w:t>
      </w:r>
    </w:p>
    <w:p>
      <w:pPr>
        <w:pStyle w:val="3"/>
        <w:rPr>
          <w:rFonts w:hAnsi="宋体" w:cs="宋体"/>
        </w:rPr>
      </w:pPr>
      <w:r>
        <w:rPr>
          <w:rFonts w:hint="eastAsia" w:hAnsi="宋体" w:cs="宋体"/>
        </w:rPr>
        <w:t>(4)用量筒测量水的体积，读数时视线应与凹面的底部______，若小杜在丙中读数正确，在丁中读数时仰视，所测得鹅卵石的密度将_______(选填“偏大”“偏小”或“不变”)。</w:t>
      </w:r>
    </w:p>
    <w:p>
      <w:pPr>
        <w:rPr>
          <w:rFonts w:hint="eastAsia"/>
        </w:rPr>
      </w:pPr>
      <w:r>
        <w:rPr>
          <w:rFonts w:hint="eastAsia"/>
        </w:rPr>
        <w:br w:type="page"/>
      </w:r>
    </w:p>
    <w:p>
      <w:pPr>
        <w:pStyle w:val="7"/>
      </w:pPr>
      <w:r>
        <w:rPr>
          <w:rFonts w:hint="eastAsia"/>
        </w:rPr>
        <w:t>答案</w:t>
      </w:r>
    </w:p>
    <w:p>
      <w:pPr>
        <w:numPr>
          <w:ilvl w:val="0"/>
          <w:numId w:val="3"/>
        </w:numPr>
        <w:rPr>
          <w:b/>
          <w:bCs/>
        </w:rPr>
      </w:pPr>
      <w:r>
        <w:rPr>
          <w:rFonts w:hint="eastAsia"/>
          <w:b/>
          <w:bCs/>
        </w:rPr>
        <w:t>填空题</w:t>
      </w:r>
    </w:p>
    <w:p>
      <w:pPr>
        <w:pStyle w:val="3"/>
        <w:numPr>
          <w:ilvl w:val="0"/>
          <w:numId w:val="4"/>
        </w:numPr>
        <w:spacing w:line="240" w:lineRule="auto"/>
        <w:rPr>
          <w:rFonts w:hAnsi="宋体" w:cs="宋体"/>
        </w:rPr>
      </w:pPr>
      <w:r>
        <w:rPr>
          <w:rFonts w:hint="eastAsia" w:hAnsi="宋体" w:cs="宋体"/>
        </w:rPr>
        <w:t>mL;2 mL;偏大</w:t>
      </w:r>
    </w:p>
    <w:p>
      <w:pPr>
        <w:pStyle w:val="3"/>
        <w:numPr>
          <w:ilvl w:val="0"/>
          <w:numId w:val="4"/>
        </w:numPr>
        <w:spacing w:line="240" w:lineRule="auto"/>
        <w:rPr>
          <w:rFonts w:hAnsi="宋体" w:cs="宋体"/>
        </w:rPr>
      </w:pPr>
      <w:r>
        <w:rPr>
          <w:rFonts w:hint="eastAsia" w:hAnsi="宋体" w:cs="宋体"/>
        </w:rPr>
        <w:t>游码移到标尺左端零刻度线处;平衡螺母;横梁</w:t>
      </w:r>
    </w:p>
    <w:p>
      <w:pPr>
        <w:numPr>
          <w:ilvl w:val="0"/>
          <w:numId w:val="4"/>
        </w:numPr>
      </w:pPr>
      <w:r>
        <w:rPr>
          <w:rFonts w:hint="eastAsia" w:ascii="宋体" w:hAnsi="宋体" w:eastAsia="宋体" w:cs="宋体"/>
        </w:rPr>
        <w:t>2;4</w:t>
      </w:r>
    </w:p>
    <w:p>
      <w:pPr>
        <w:numPr>
          <w:ilvl w:val="0"/>
          <w:numId w:val="4"/>
        </w:numPr>
      </w:pPr>
      <w:r>
        <w:rPr>
          <w:rFonts w:hint="eastAsia" w:ascii="宋体" w:hAnsi="宋体" w:eastAsia="宋体" w:cs="宋体"/>
        </w:rPr>
        <w:t>小;151;1.2×10</w:t>
      </w:r>
      <w:r>
        <w:rPr>
          <w:rFonts w:hint="eastAsia" w:ascii="宋体" w:hAnsi="宋体" w:eastAsia="宋体" w:cs="宋体"/>
          <w:vertAlign w:val="superscript"/>
        </w:rPr>
        <w:t>3</w:t>
      </w:r>
    </w:p>
    <w:p>
      <w:pPr>
        <w:pStyle w:val="3"/>
        <w:numPr>
          <w:ilvl w:val="0"/>
          <w:numId w:val="4"/>
        </w:numPr>
        <w:spacing w:line="240" w:lineRule="auto"/>
        <w:rPr>
          <w:rFonts w:hAnsi="宋体" w:cs="宋体"/>
        </w:rPr>
      </w:pPr>
      <w:r>
        <w:rPr>
          <w:rFonts w:hint="eastAsia" w:hAnsi="宋体" w:cs="宋体"/>
        </w:rPr>
        <w:t>50;0.8</w:t>
      </w:r>
    </w:p>
    <w:p>
      <w:pPr>
        <w:numPr>
          <w:ilvl w:val="0"/>
          <w:numId w:val="3"/>
        </w:numPr>
        <w:rPr>
          <w:b/>
          <w:bCs/>
        </w:rPr>
      </w:pPr>
      <w:r>
        <w:rPr>
          <w:rFonts w:hint="eastAsia"/>
          <w:b/>
          <w:bCs/>
        </w:rPr>
        <w:t>选择题</w:t>
      </w:r>
    </w:p>
    <w:p>
      <w:pPr>
        <w:numPr>
          <w:ilvl w:val="0"/>
          <w:numId w:val="4"/>
        </w:numPr>
      </w:pPr>
      <w:r>
        <w:rPr>
          <w:rFonts w:hint="eastAsia"/>
        </w:rPr>
        <w:t>C</w:t>
      </w:r>
    </w:p>
    <w:p>
      <w:pPr>
        <w:numPr>
          <w:ilvl w:val="0"/>
          <w:numId w:val="4"/>
        </w:numPr>
      </w:pPr>
      <w:r>
        <w:rPr>
          <w:rFonts w:hint="eastAsia"/>
        </w:rPr>
        <w:t>B</w:t>
      </w:r>
    </w:p>
    <w:p>
      <w:pPr>
        <w:numPr>
          <w:ilvl w:val="0"/>
          <w:numId w:val="4"/>
        </w:numPr>
      </w:pPr>
      <w:r>
        <w:rPr>
          <w:rFonts w:hint="eastAsia"/>
        </w:rPr>
        <w:t>B</w:t>
      </w:r>
    </w:p>
    <w:p>
      <w:pPr>
        <w:numPr>
          <w:ilvl w:val="0"/>
          <w:numId w:val="3"/>
        </w:numPr>
        <w:rPr>
          <w:rFonts w:asciiTheme="majorEastAsia" w:hAnsiTheme="majorEastAsia" w:eastAsiaTheme="majorEastAsia"/>
          <w:b/>
          <w:bCs/>
        </w:rPr>
      </w:pPr>
      <w:r>
        <w:rPr>
          <w:rFonts w:hint="eastAsia" w:asciiTheme="majorEastAsia" w:hAnsiTheme="majorEastAsia" w:eastAsiaTheme="majorEastAsia"/>
          <w:b/>
          <w:bCs/>
        </w:rPr>
        <w:t>简答题</w:t>
      </w:r>
    </w:p>
    <w:p>
      <w:pPr>
        <w:numPr>
          <w:ilvl w:val="0"/>
          <w:numId w:val="4"/>
        </w:numPr>
        <w:rPr>
          <w:rFonts w:asciiTheme="majorEastAsia" w:hAnsiTheme="majorEastAsia" w:eastAsiaTheme="majorEastAsia"/>
        </w:rPr>
      </w:pPr>
      <w:r>
        <w:rPr>
          <w:rFonts w:asciiTheme="majorEastAsia" w:hAnsiTheme="majorEastAsia" w:eastAsiaTheme="majorEastAsia"/>
        </w:rPr>
        <w:t>(1)受困人员应采取弯腰甚至角的姿势撤离。</w:t>
      </w:r>
    </w:p>
    <w:p>
      <w:pPr>
        <w:tabs>
          <w:tab w:val="left" w:pos="312"/>
        </w:tabs>
        <w:ind w:left="420"/>
        <w:rPr>
          <w:rFonts w:asciiTheme="majorEastAsia" w:hAnsiTheme="majorEastAsia" w:eastAsiaTheme="majorEastAsia"/>
        </w:rPr>
      </w:pPr>
      <w:r>
        <w:rPr>
          <w:rFonts w:hint="eastAsia" w:asciiTheme="majorEastAsia" w:hAnsiTheme="majorEastAsia" w:eastAsiaTheme="majorEastAsia"/>
        </w:rPr>
        <w:t>(2)</w:t>
      </w:r>
      <w:r>
        <w:rPr>
          <w:rFonts w:asciiTheme="majorEastAsia" w:hAnsiTheme="majorEastAsia" w:eastAsiaTheme="majorEastAsia"/>
        </w:rPr>
        <w:t>发生火灾时会产生有毒气体，周围气体温度升高，体积变大，根据 可知，在气体的质量一定时，气体密度会变小而使得气体上升，因此有毒的、热的气体分布在上方，所以，当室内发生火灾时，受困人员应采取弯腰甚至匍甸的姿势撤离，以尽量减少吸入有害气体或被灼伤。</w:t>
      </w:r>
    </w:p>
    <w:p>
      <w:pPr>
        <w:numPr>
          <w:ilvl w:val="0"/>
          <w:numId w:val="3"/>
        </w:numPr>
        <w:rPr>
          <w:rFonts w:asciiTheme="majorEastAsia" w:hAnsiTheme="majorEastAsia" w:eastAsiaTheme="majorEastAsia"/>
          <w:b/>
          <w:bCs/>
        </w:rPr>
      </w:pPr>
      <w:r>
        <w:rPr>
          <w:rFonts w:hint="eastAsia" w:asciiTheme="majorEastAsia" w:hAnsiTheme="majorEastAsia" w:eastAsiaTheme="majorEastAsia"/>
          <w:b/>
          <w:bCs/>
        </w:rPr>
        <w:t>实验题</w:t>
      </w:r>
    </w:p>
    <w:p>
      <w:pPr>
        <w:numPr>
          <w:ilvl w:val="0"/>
          <w:numId w:val="4"/>
        </w:numPr>
        <w:rPr>
          <w:rFonts w:asciiTheme="majorEastAsia" w:hAnsiTheme="majorEastAsia" w:eastAsiaTheme="majorEastAsia"/>
        </w:rPr>
      </w:pPr>
      <w:r>
        <w:rPr>
          <w:rFonts w:hint="eastAsia" w:asciiTheme="majorEastAsia" w:hAnsiTheme="majorEastAsia" w:eastAsiaTheme="majorEastAsia"/>
        </w:rPr>
        <w:t>(1)游码没移到标尺左端的零刻度线处</w:t>
      </w:r>
    </w:p>
    <w:p>
      <w:pPr>
        <w:numPr>
          <w:ilvl w:val="0"/>
          <w:numId w:val="5"/>
        </w:numPr>
        <w:ind w:firstLine="420" w:firstLineChars="200"/>
        <w:rPr>
          <w:rFonts w:asciiTheme="majorEastAsia" w:hAnsiTheme="majorEastAsia" w:eastAsiaTheme="majorEastAsia"/>
        </w:rPr>
      </w:pPr>
      <w:r>
        <w:rPr>
          <w:rFonts w:hint="eastAsia" w:asciiTheme="majorEastAsia" w:hAnsiTheme="majorEastAsia" w:eastAsiaTheme="majorEastAsia"/>
        </w:rPr>
        <w:t>27;10;2.7　</w:t>
      </w:r>
    </w:p>
    <w:p>
      <w:pPr>
        <w:numPr>
          <w:ilvl w:val="0"/>
          <w:numId w:val="5"/>
        </w:numPr>
        <w:ind w:firstLine="420" w:firstLineChars="200"/>
        <w:rPr>
          <w:rFonts w:asciiTheme="majorEastAsia" w:hAnsiTheme="majorEastAsia" w:eastAsiaTheme="majorEastAsia"/>
        </w:rPr>
      </w:pPr>
      <w:r>
        <w:rPr>
          <w:rFonts w:hint="eastAsia" w:asciiTheme="majorEastAsia" w:hAnsiTheme="majorEastAsia" w:eastAsiaTheme="majorEastAsia"/>
        </w:rPr>
        <w:t>不变　</w:t>
      </w:r>
    </w:p>
    <w:p>
      <w:pPr>
        <w:numPr>
          <w:ilvl w:val="0"/>
          <w:numId w:val="5"/>
        </w:numPr>
        <w:ind w:firstLine="420" w:firstLineChars="200"/>
        <w:rPr>
          <w:rFonts w:asciiTheme="majorEastAsia" w:hAnsiTheme="majorEastAsia" w:eastAsiaTheme="majorEastAsia"/>
        </w:rPr>
      </w:pPr>
      <w:r>
        <w:rPr>
          <w:rFonts w:hint="eastAsia" w:asciiTheme="majorEastAsia" w:hAnsiTheme="majorEastAsia" w:eastAsiaTheme="majorEastAsia"/>
        </w:rPr>
        <w:t>相平;偏大</w:t>
      </w:r>
    </w:p>
    <w:p>
      <w:pPr>
        <w:rPr>
          <w:b/>
          <w:bCs/>
        </w:rPr>
        <w:sectPr>
          <w:headerReference r:id="rId3" w:type="default"/>
          <w:footerReference r:id="rId4" w:type="default"/>
          <w:pgSz w:w="10318" w:h="14570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0318" w:h="1457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libri Light">
    <w:altName w:val="Calibri"/>
    <w:panose1 w:val="020F0302020204030204"/>
    <w:charset w:val="00"/>
    <w:family w:val="swiss"/>
    <w:pitch w:val="default"/>
    <w:sig w:usb0="00000000" w:usb1="00000000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8E6462C"/>
    <w:multiLevelType w:val="singleLevel"/>
    <w:tmpl w:val="A8E6462C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AE79B3A1"/>
    <w:multiLevelType w:val="singleLevel"/>
    <w:tmpl w:val="AE79B3A1"/>
    <w:lvl w:ilvl="0" w:tentative="0">
      <w:start w:val="2"/>
      <w:numFmt w:val="decimal"/>
      <w:lvlText w:val="(%1)"/>
      <w:lvlJc w:val="left"/>
      <w:pPr>
        <w:tabs>
          <w:tab w:val="left" w:pos="312"/>
        </w:tabs>
      </w:pPr>
    </w:lvl>
  </w:abstractNum>
  <w:abstractNum w:abstractNumId="2">
    <w:nsid w:val="FE5A1027"/>
    <w:multiLevelType w:val="singleLevel"/>
    <w:tmpl w:val="FE5A102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3F2CDF97"/>
    <w:multiLevelType w:val="singleLevel"/>
    <w:tmpl w:val="3F2CDF97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4">
    <w:nsid w:val="4F798CA6"/>
    <w:multiLevelType w:val="singleLevel"/>
    <w:tmpl w:val="4F798CA6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4"/>
  </w:num>
  <w:num w:numId="2">
    <w:abstractNumId w:val="0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QyNjljM2VhODIyNDViMDMwMmRiOTllZjllNDYxOGEifQ=="/>
  </w:docVars>
  <w:rsids>
    <w:rsidRoot w:val="31A17631"/>
    <w:rsid w:val="001E452A"/>
    <w:rsid w:val="003B4764"/>
    <w:rsid w:val="004151FC"/>
    <w:rsid w:val="0061275D"/>
    <w:rsid w:val="007670A0"/>
    <w:rsid w:val="007E46C6"/>
    <w:rsid w:val="008318C9"/>
    <w:rsid w:val="0091199F"/>
    <w:rsid w:val="009A71E9"/>
    <w:rsid w:val="00C02FC6"/>
    <w:rsid w:val="02924A37"/>
    <w:rsid w:val="08517143"/>
    <w:rsid w:val="0C9475FE"/>
    <w:rsid w:val="0F587009"/>
    <w:rsid w:val="109202F8"/>
    <w:rsid w:val="142602DA"/>
    <w:rsid w:val="183852E6"/>
    <w:rsid w:val="18475E6C"/>
    <w:rsid w:val="24AF2DCF"/>
    <w:rsid w:val="2EAF7625"/>
    <w:rsid w:val="31A17631"/>
    <w:rsid w:val="3DA6700D"/>
    <w:rsid w:val="3EDE4FC7"/>
    <w:rsid w:val="41013A16"/>
    <w:rsid w:val="429B4AA7"/>
    <w:rsid w:val="5B37709F"/>
    <w:rsid w:val="5D172CE4"/>
    <w:rsid w:val="70B133CA"/>
    <w:rsid w:val="7355410F"/>
    <w:rsid w:val="740718AD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00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outlineLvl w:val="0"/>
    </w:pPr>
    <w:rPr>
      <w:b/>
      <w:kern w:val="44"/>
      <w:sz w:val="44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Plain Text"/>
    <w:basedOn w:val="1"/>
    <w:qFormat/>
    <w:uiPriority w:val="0"/>
    <w:rPr>
      <w:rFonts w:ascii="宋体" w:hAnsi="Courier New" w:eastAsia="宋体" w:cs="Courier New"/>
      <w:szCs w:val="21"/>
    </w:rPr>
  </w:style>
  <w:style w:type="paragraph" w:styleId="4">
    <w:name w:val="Balloon Text"/>
    <w:basedOn w:val="1"/>
    <w:link w:val="10"/>
    <w:qFormat/>
    <w:uiPriority w:val="0"/>
    <w:pPr>
      <w:spacing w:line="240" w:lineRule="auto"/>
    </w:pPr>
    <w:rPr>
      <w:sz w:val="18"/>
      <w:szCs w:val="18"/>
    </w:rPr>
  </w:style>
  <w:style w:type="paragraph" w:styleId="5">
    <w:name w:val="footer"/>
    <w:basedOn w:val="1"/>
    <w:link w:val="12"/>
    <w:qFormat/>
    <w:uiPriority w:val="0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6">
    <w:name w:val="header"/>
    <w:basedOn w:val="1"/>
    <w:link w:val="1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7">
    <w:name w:val="Title"/>
    <w:basedOn w:val="1"/>
    <w:next w:val="1"/>
    <w:link w:val="13"/>
    <w:qFormat/>
    <w:uiPriority w:val="0"/>
    <w:pPr>
      <w:spacing w:before="240" w:after="60"/>
      <w:jc w:val="center"/>
      <w:outlineLvl w:val="0"/>
    </w:pPr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10">
    <w:name w:val="批注框文本 Char"/>
    <w:basedOn w:val="8"/>
    <w:link w:val="4"/>
    <w:qFormat/>
    <w:uiPriority w:val="0"/>
    <w:rPr>
      <w:kern w:val="2"/>
      <w:sz w:val="18"/>
      <w:szCs w:val="18"/>
    </w:rPr>
  </w:style>
  <w:style w:type="character" w:customStyle="1" w:styleId="11">
    <w:name w:val="页眉 Char"/>
    <w:basedOn w:val="8"/>
    <w:link w:val="6"/>
    <w:qFormat/>
    <w:uiPriority w:val="0"/>
    <w:rPr>
      <w:kern w:val="2"/>
      <w:sz w:val="18"/>
      <w:szCs w:val="18"/>
    </w:rPr>
  </w:style>
  <w:style w:type="character" w:customStyle="1" w:styleId="12">
    <w:name w:val="页脚 Char"/>
    <w:basedOn w:val="8"/>
    <w:link w:val="5"/>
    <w:qFormat/>
    <w:uiPriority w:val="0"/>
    <w:rPr>
      <w:kern w:val="2"/>
      <w:sz w:val="18"/>
      <w:szCs w:val="18"/>
    </w:rPr>
  </w:style>
  <w:style w:type="character" w:customStyle="1" w:styleId="13">
    <w:name w:val="标题 Char"/>
    <w:basedOn w:val="8"/>
    <w:link w:val="7"/>
    <w:qFormat/>
    <w:uiPriority w:val="0"/>
    <w:rPr>
      <w:rFonts w:eastAsia="宋体" w:asciiTheme="majorHAnsi" w:hAnsiTheme="majorHAnsi" w:cstheme="majorBidi"/>
      <w:b/>
      <w:bCs/>
      <w:kern w:val="2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wmf"/><Relationship Id="rId8" Type="http://schemas.openxmlformats.org/officeDocument/2006/relationships/image" Target="media/image4.wmf"/><Relationship Id="rId7" Type="http://schemas.openxmlformats.org/officeDocument/2006/relationships/image" Target="media/image3.wmf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7.wmf"/><Relationship Id="rId10" Type="http://schemas.openxmlformats.org/officeDocument/2006/relationships/image" Target="media/image6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Organization</Company>
  <Pages>3</Pages>
  <Words>1314</Words>
  <Characters>1645</Characters>
  <Lines>13</Lines>
  <Paragraphs>3</Paragraphs>
  <TotalTime>22</TotalTime>
  <ScaleCrop>false</ScaleCrop>
  <LinksUpToDate>false</LinksUpToDate>
  <CharactersWithSpaces>1796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2023-01-03T02:42:00Z</dcterms:created>
  <dc:creator>奶盖的wps plus</dc:creator>
  <cp:lastModifiedBy>Administrator</cp:lastModifiedBy>
  <dcterms:modified xsi:type="dcterms:W3CDTF">2023-01-08T09:54:14Z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