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center"/>
        <w:textAlignment w:val="auto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11264900</wp:posOffset>
            </wp:positionV>
            <wp:extent cx="469900" cy="482600"/>
            <wp:effectExtent l="0" t="0" r="635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t>第九、十章 章末测试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rPr>
          <w:rFonts w:hint="eastAsia" w:ascii="黑体" w:hAnsi="黑体" w:eastAsia="黑体" w:cs="黑体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AndChars" w:linePitch="398" w:charSpace="-2507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单项</w:t>
      </w:r>
      <w:r>
        <w:rPr>
          <w:rFonts w:hint="eastAsia" w:ascii="黑体" w:hAnsi="黑体" w:eastAsia="黑体" w:cs="黑体"/>
          <w:szCs w:val="21"/>
        </w:rPr>
        <w:t>选择题（每小题1分，共1</w:t>
      </w: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下列关于青藏高原的叙述</w:t>
      </w:r>
      <w:r>
        <w:rPr>
          <w:rFonts w:hint="eastAsia" w:ascii="宋体" w:hAnsi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地高天寒，雪山连绵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孕育的长江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黄河等众多大河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是世界上最大的高原，素有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世界屋脊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之称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平均海拔4</w:t>
      </w:r>
      <w:r>
        <w:rPr>
          <w:rFonts w:hint="eastAsia" w:ascii="宋体" w:hAnsi="宋体" w:cs="宋体"/>
          <w:sz w:val="21"/>
          <w:szCs w:val="21"/>
          <w:lang w:val="en-US" w:eastAsia="zh-CN"/>
        </w:rPr>
        <w:t>000米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以上，位于我国地势第一级阶梯上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我国疆域辽阔，地理差异显著，综合地理位置，自然地理，人文地理的特点，将我国划分为四大地理区域，能够正确反映青藏地区地理景观和农作物的一项是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沟万壑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水稻                         B.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沃野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千里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玉米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低山丘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陵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小麦                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 雪山连绵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青稞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 青藏地区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发展农业最主要的限制性条件是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. 热量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水分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光照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土壤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4. 下列地理现象中，与青藏高原“高”“寒”特征无关的是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昼夜温差大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B.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地热资源丰富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日照强烈，太阳能丰富              D. 雪山连绵，冰川广布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规划中的川藏铁路将连接成都和拉萨</w:t>
      </w:r>
      <w:r>
        <w:rPr>
          <w:rFonts w:hint="eastAsia" w:ascii="宋体" w:hAnsi="宋体" w:cs="宋体"/>
          <w:sz w:val="21"/>
          <w:szCs w:val="21"/>
          <w:lang w:val="en-US" w:eastAsia="zh-CN"/>
        </w:rPr>
        <w:t>,全长1629千米,建成后从成都到拉萨只需十余个小时。读图，完成5~6题。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drawing>
          <wp:inline distT="0" distB="0" distL="114300" distR="114300">
            <wp:extent cx="3971925" cy="1858010"/>
            <wp:effectExtent l="0" t="0" r="0" b="8890"/>
            <wp:docPr id="3" name="图片 3" descr="dc512158426ab68096605232bdb51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c512158426ab68096605232bdb51f3"/>
                    <pic:cNvPicPr>
                      <a:picLocks noChangeAspect="1"/>
                    </pic:cNvPicPr>
                  </pic:nvPicPr>
                  <pic:blipFill>
                    <a:blip r:embed="rId11"/>
                    <a:srcRect l="3717" t="5761" r="325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与修建青藏铁路相比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川藏铁路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A．修建大型桥梁隧道更多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</w:rPr>
        <w:t>B．平均海拔更高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C．沿途遍布沙漠戈壁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cs="宋体"/>
          <w:sz w:val="21"/>
          <w:szCs w:val="21"/>
          <w:lang w:eastAsia="zh-CN"/>
        </w:rPr>
        <w:t>沿线地势起伏更小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6. 从成都到拉萨，沿着川藏铁路沿途依次可以看到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A．灌溉农业，高寒牧区，旱作农业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B．旱作农业，渔业，水田农业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C．水田农业，林业，河谷农业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D．河谷农业，林业，旱作农业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下列关于三江源地区的叙述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天然降水是该地区的最初水源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地区被誉为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中华水塔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该地区位于我国地势的第一</w:t>
      </w:r>
      <w:r>
        <w:rPr>
          <w:rFonts w:hint="eastAsia" w:ascii="宋体" w:hAnsi="宋体" w:cs="宋体"/>
          <w:sz w:val="21"/>
          <w:szCs w:val="21"/>
          <w:lang w:eastAsia="zh-CN"/>
        </w:rPr>
        <w:t>级</w:t>
      </w:r>
      <w:r>
        <w:rPr>
          <w:rFonts w:hint="eastAsia" w:ascii="宋体" w:hAnsi="宋体" w:eastAsia="宋体" w:cs="宋体"/>
          <w:sz w:val="21"/>
          <w:szCs w:val="21"/>
        </w:rPr>
        <w:t>阶梯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过度放牧，乱采滥挖等不合理的人类活动，加速了该地区生态环境的恶化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8. </w:t>
      </w:r>
      <w:r>
        <w:rPr>
          <w:rFonts w:hint="eastAsia" w:ascii="宋体" w:hAnsi="宋体" w:cs="宋体"/>
          <w:sz w:val="21"/>
          <w:szCs w:val="21"/>
          <w:lang w:eastAsia="zh-CN"/>
        </w:rPr>
        <w:t>下列动物中不属于三江源地区珍稀动物的是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drawing>
          <wp:inline distT="0" distB="0" distL="114300" distR="114300">
            <wp:extent cx="1281430" cy="977265"/>
            <wp:effectExtent l="0" t="0" r="4445" b="3810"/>
            <wp:docPr id="6" name="图片 6" descr="97e5db390ce25ebdb74a4747554c7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97e5db390ce25ebdb74a4747554c7f8"/>
                    <pic:cNvPicPr>
                      <a:picLocks noChangeAspect="1"/>
                    </pic:cNvPicPr>
                  </pic:nvPicPr>
                  <pic:blipFill>
                    <a:blip r:embed="rId12"/>
                    <a:srcRect b="76334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97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eastAsia="zh-CN"/>
        </w:rPr>
        <w:drawing>
          <wp:inline distT="0" distB="0" distL="114300" distR="114300">
            <wp:extent cx="1281430" cy="1011555"/>
            <wp:effectExtent l="0" t="0" r="4445" b="7620"/>
            <wp:docPr id="7" name="图片 7" descr="97e5db390ce25ebdb74a4747554c7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7e5db390ce25ebdb74a4747554c7f8"/>
                    <pic:cNvPicPr>
                      <a:picLocks noChangeAspect="1"/>
                    </pic:cNvPicPr>
                  </pic:nvPicPr>
                  <pic:blipFill>
                    <a:blip r:embed="rId12"/>
                    <a:srcRect t="23374" b="52129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eastAsia="zh-CN"/>
        </w:rPr>
        <w:drawing>
          <wp:inline distT="0" distB="0" distL="114300" distR="114300">
            <wp:extent cx="1281430" cy="1003935"/>
            <wp:effectExtent l="0" t="0" r="4445" b="5715"/>
            <wp:docPr id="8" name="图片 8" descr="97e5db390ce25ebdb74a4747554c7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97e5db390ce25ebdb74a4747554c7f8"/>
                    <pic:cNvPicPr>
                      <a:picLocks noChangeAspect="1"/>
                    </pic:cNvPicPr>
                  </pic:nvPicPr>
                  <pic:blipFill>
                    <a:blip r:embed="rId12"/>
                    <a:srcRect t="48116" b="27572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eastAsia="zh-CN"/>
        </w:rPr>
        <w:drawing>
          <wp:inline distT="0" distB="0" distL="114300" distR="114300">
            <wp:extent cx="1281430" cy="1042670"/>
            <wp:effectExtent l="0" t="0" r="4445" b="5080"/>
            <wp:docPr id="9" name="图片 9" descr="97e5db390ce25ebdb74a4747554c7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7e5db390ce25ebdb74a4747554c7f8"/>
                    <pic:cNvPicPr>
                      <a:picLocks noChangeAspect="1"/>
                    </pic:cNvPicPr>
                  </pic:nvPicPr>
                  <pic:blipFill>
                    <a:blip r:embed="rId12"/>
                    <a:srcRect t="71813" b="2937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04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A.大熊猫            B.藏羚羊           C.白唇鹿              D.雪豹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如图</w:t>
      </w:r>
      <w:r>
        <w:rPr>
          <w:rFonts w:hint="eastAsia" w:ascii="宋体" w:hAnsi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sz w:val="21"/>
          <w:szCs w:val="21"/>
        </w:rPr>
        <w:t>我们可以看出青藏地区的草地沙化问题，据此回答</w:t>
      </w:r>
      <w:r>
        <w:rPr>
          <w:rFonts w:hint="eastAsia" w:ascii="宋体" w:hAnsi="宋体" w:cs="宋体"/>
          <w:sz w:val="21"/>
          <w:szCs w:val="21"/>
          <w:lang w:val="en-US" w:eastAsia="zh-CN"/>
        </w:rPr>
        <w:t>9-10</w:t>
      </w:r>
      <w:r>
        <w:rPr>
          <w:rFonts w:hint="eastAsia" w:ascii="宋体" w:hAnsi="宋体" w:eastAsia="宋体" w:cs="宋体"/>
          <w:sz w:val="21"/>
          <w:szCs w:val="21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3961130</wp:posOffset>
            </wp:positionH>
            <wp:positionV relativeFrom="paragraph">
              <wp:posOffset>90805</wp:posOffset>
            </wp:positionV>
            <wp:extent cx="1176655" cy="1249045"/>
            <wp:effectExtent l="0" t="0" r="4445" b="8255"/>
            <wp:wrapSquare wrapText="bothSides"/>
            <wp:docPr id="2" name="图片 2" descr="ed3bca460b7c1db2755749170a75e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d3bca460b7c1db2755749170a75e1c"/>
                    <pic:cNvPicPr>
                      <a:picLocks noChangeAspect="1"/>
                    </pic:cNvPicPr>
                  </pic:nvPicPr>
                  <pic:blipFill>
                    <a:blip r:embed="rId13"/>
                    <a:srcRect l="27564" t="33108" r="19515" b="24679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青藏地区草地沙化问题严重的主要原因是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野生动物</w:t>
      </w:r>
      <w:r>
        <w:rPr>
          <w:rFonts w:hint="eastAsia" w:ascii="宋体" w:hAnsi="宋体" w:cs="宋体"/>
          <w:sz w:val="21"/>
          <w:szCs w:val="21"/>
          <w:lang w:eastAsia="zh-CN"/>
        </w:rPr>
        <w:t>锐减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全球变暖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过度放牧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气候干旱，降水少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面对青藏地区的土地沙化问题，下列做法不可取的是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 多开垦耕地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 xml:space="preserve">保持水土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B. 多种草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预防和治理土地沙化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C. 建立自然保护区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D. 休牧育草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我国国土辽阔，区域差异大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读东北三省和青藏地区图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完成11~12题。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4653280" cy="1990090"/>
            <wp:effectExtent l="0" t="0" r="4445" b="635"/>
            <wp:docPr id="13" name="图片 13" descr="4c3ed1631c3048ac88f80ed696f79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c3ed1631c3048ac88f80ed696f79e0"/>
                    <pic:cNvPicPr>
                      <a:picLocks noChangeAspect="1"/>
                    </pic:cNvPicPr>
                  </pic:nvPicPr>
                  <pic:blipFill>
                    <a:blip r:embed="rId14"/>
                    <a:srcRect l="5383" r="6481"/>
                    <a:stretch>
                      <a:fillRect/>
                    </a:stretch>
                  </pic:blipFill>
                  <pic:spPr>
                    <a:xfrm>
                      <a:off x="0" y="0"/>
                      <a:ext cx="4653280" cy="199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关于两地区地理特征的叙述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cs="宋体"/>
          <w:sz w:val="21"/>
          <w:szCs w:val="21"/>
          <w:lang w:eastAsia="zh-CN"/>
        </w:rPr>
        <w:t>“山环水绕”概括了东北三省的山河大势；“高寒”是青藏地区显著的自然环境特征。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B．东北三省气候冷湿</w:t>
      </w:r>
      <w:r>
        <w:rPr>
          <w:rFonts w:hint="eastAsia" w:ascii="宋体" w:hAnsi="宋体" w:cs="宋体"/>
          <w:sz w:val="21"/>
          <w:szCs w:val="21"/>
          <w:lang w:eastAsia="zh-CN"/>
        </w:rPr>
        <w:t>，辽东半岛长冬无夏；青藏地区光照强，气温日较差大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C．与东北三省相比青藏地区铁路线稀疏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气候是造成这种差异的最重要因素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D．东北三省煤，石油等传统能源丰富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青藏地区有丰富的新能源，如太阳能，水能。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12.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图中阴影区域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①②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分别是松嫩平原和三江源地区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下列关于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①②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说法正确的是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①区域中分布着大面积的黑土地，沃野千里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②区域被誉为中华水塔，取之不尽，用之不竭。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①区域种植的农作物因为生长时间较短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各种养分积累多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②区域是长江</w:t>
      </w:r>
      <w:r>
        <w:rPr>
          <w:rFonts w:hint="eastAsia" w:ascii="宋体" w:hAnsi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黄河</w:t>
      </w:r>
      <w:r>
        <w:rPr>
          <w:rFonts w:hint="eastAsia" w:ascii="宋体" w:hAnsi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雅鲁藏布江上游最主要的水源</w:t>
      </w:r>
      <w:r>
        <w:rPr>
          <w:rFonts w:hint="eastAsia" w:ascii="宋体" w:hAnsi="宋体" w:cs="宋体"/>
          <w:sz w:val="21"/>
          <w:szCs w:val="21"/>
          <w:lang w:eastAsia="zh-CN"/>
        </w:rPr>
        <w:t>涵养</w:t>
      </w:r>
      <w:r>
        <w:rPr>
          <w:rFonts w:hint="eastAsia" w:ascii="宋体" w:hAnsi="宋体" w:eastAsia="宋体" w:cs="宋体"/>
          <w:sz w:val="21"/>
          <w:szCs w:val="21"/>
        </w:rPr>
        <w:t>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以下有关我国的叙述不正确的是</w:t>
      </w:r>
      <w:r>
        <w:rPr>
          <w:rFonts w:hint="eastAsia" w:ascii="宋体" w:hAnsi="宋体" w:eastAsia="宋体" w:cs="宋体"/>
          <w:sz w:val="21"/>
          <w:szCs w:val="21"/>
        </w:rPr>
        <w:t>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我国是联合国安理会常任理事国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人地关系不够和谐，区域发展不平衡，海洋权益面临严峻挑战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我国坚定和平</w:t>
      </w:r>
      <w:r>
        <w:rPr>
          <w:rFonts w:hint="eastAsia" w:ascii="宋体" w:hAnsi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发展</w:t>
      </w:r>
      <w:r>
        <w:rPr>
          <w:rFonts w:hint="eastAsia" w:ascii="宋体" w:hAnsi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合作</w:t>
      </w:r>
      <w:r>
        <w:rPr>
          <w:rFonts w:hint="eastAsia" w:ascii="宋体" w:hAnsi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共赢的信念，积极参与国际事务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目前我国国内生产总值超越日本，成为世界第二大经济体，已经成为了发达国家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．要</w:t>
      </w:r>
      <w:r>
        <w:rPr>
          <w:rFonts w:hint="eastAsia" w:ascii="宋体" w:hAnsi="宋体" w:eastAsia="宋体" w:cs="宋体"/>
          <w:sz w:val="21"/>
          <w:szCs w:val="21"/>
        </w:rPr>
        <w:t>实现区域内的可持续发展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应该做到（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坚持以促进地区经济发展为主要目标，生态环境问题可以后考虑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加强区域之间的联系，发挥各自的优势，分工协作，互惠互利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充分利用有利的地理条件，对不利的地理条件不做考虑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不同的区域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实行一对一的合作，其他不需要考虑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15. </w:t>
      </w:r>
      <w:r>
        <w:rPr>
          <w:rFonts w:hint="eastAsia" w:ascii="宋体" w:hAnsi="宋体" w:eastAsia="宋体" w:cs="宋体"/>
          <w:sz w:val="21"/>
          <w:szCs w:val="21"/>
        </w:rPr>
        <w:t>习近平总书记多次强调</w:t>
      </w:r>
      <w:r>
        <w:rPr>
          <w:rFonts w:hint="eastAsia" w:ascii="宋体" w:hAnsi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绿水青山就是金山银山</w:t>
      </w:r>
      <w:r>
        <w:rPr>
          <w:rFonts w:hint="eastAsia" w:ascii="宋体" w:hAnsi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，下列做法符合该理念的是（  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内蒙古高原地区退耕还林还草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山东丘陵地区大面积种植柑橘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长江中下游平原地区大力发展林业生产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青藏高原地区增加放牧牲畜的数量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二、综合题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16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读“青藏地区示意图”，回答下列问题。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255905</wp:posOffset>
            </wp:positionH>
            <wp:positionV relativeFrom="paragraph">
              <wp:posOffset>177800</wp:posOffset>
            </wp:positionV>
            <wp:extent cx="3254375" cy="1628775"/>
            <wp:effectExtent l="0" t="0" r="3175" b="0"/>
            <wp:wrapSquare wrapText="bothSides"/>
            <wp:docPr id="38" name="图片 38" descr="a6460c7cec37d236a598801a3caa2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a6460c7cec37d236a598801a3caa28f"/>
                    <pic:cNvPicPr>
                      <a:picLocks noChangeAspect="1"/>
                    </pic:cNvPicPr>
                  </pic:nvPicPr>
                  <pic:blipFill>
                    <a:blip r:embed="rId15"/>
                    <a:srcRect t="7254" r="3060" b="4616"/>
                    <a:stretch>
                      <a:fillRect/>
                    </a:stretch>
                  </pic:blipFill>
                  <pic:spPr>
                    <a:xfrm>
                      <a:off x="0" y="0"/>
                      <a:ext cx="3254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</w:t>
      </w:r>
    </w:p>
    <w:p>
      <w:pPr>
        <w:adjustRightInd w:val="0"/>
        <w:snapToGrid w:val="0"/>
        <w:spacing w:line="286" w:lineRule="auto"/>
        <w:rPr>
          <w:rFonts w:hint="eastAsia" w:asciiTheme="majorEastAsia" w:hAnsiTheme="majorEastAsia" w:eastAsiaTheme="majorEastAsia" w:cstheme="majorEastAsia"/>
          <w:szCs w:val="21"/>
        </w:rPr>
      </w:pPr>
    </w:p>
    <w:p>
      <w:pPr>
        <w:adjustRightInd w:val="0"/>
        <w:snapToGrid w:val="0"/>
        <w:spacing w:line="286" w:lineRule="auto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（1）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青藏地区的自然环境特征是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。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）图中的铁路是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，是世界海拔最高的铁路。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（3）青藏地区湖泊众多，大多数属于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（填“内”或“外”）流湖。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（4）三江源中的三条河流，没有流经云南省的是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（5）拉萨被称为“日光城”，说明该地区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资源丰富。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（6）关于青藏地区的叙述，错误的是</w:t>
      </w:r>
      <w:r>
        <w:rPr>
          <w:rFonts w:hint="eastAsia" w:ascii="宋体" w:hAnsi="宋体" w:eastAsia="宋体" w:cs="宋体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0" w:firstLineChars="100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A. 青藏地区雪山连绵，冰川广布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0" w:firstLineChars="100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B. 图A山脉为我国地势二，三级阶梯分界线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0" w:firstLineChars="100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C. 青藏地区的代表畜种是毛牛，有高原之舟之称。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0" w:firstLineChars="100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D. 为改善三江源地区生态环境，必须采取的措施是植树种草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17</w:t>
      </w:r>
      <w:r>
        <w:rPr>
          <w:rFonts w:hint="eastAsia" w:asciiTheme="majorEastAsia" w:hAnsiTheme="majorEastAsia" w:eastAsiaTheme="majorEastAsia" w:cstheme="majorEastAsia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“十五”计划期间，我国重点进行开发建设的青藏铁路、南水北调、西气东输、西电东送四大工程，被称为“中国新世纪四大工程”，其中除南水北调工程外，共他三项也是西部大开发的重点工程。我国建设的四大工程，在促进西部大开发、资源大调度等方面具有重要意义。据此完成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（1）填写四大工程的名称：属于水资源跨流域调配的是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南水北调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工程；属于能源调配的是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工程和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工程，属于交通设施建设的是青藏铁路工程。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（2）在青藏线上运行的旅客列车内开设氧吧或备有氧气瓶等设备，并提高行车速度，减少列车在高原上停留的时间，原因是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（3）西电东送的中线、南线工程主要是把西部丰富的水电调往东部地区，西部水电丰富的原因是</w:t>
      </w:r>
      <w:r>
        <w:rPr>
          <w:rFonts w:hint="eastAsia" w:ascii="宋体" w:hAnsi="宋体" w:cs="宋体"/>
          <w:color w:val="FF0000"/>
          <w:sz w:val="21"/>
          <w:szCs w:val="21"/>
          <w:u w:val="singl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（4）西气东输、西电东送两大工程对上海的积极影响是</w:t>
      </w:r>
      <w:r>
        <w:rPr>
          <w:rFonts w:hint="eastAsia" w:ascii="宋体" w:hAnsi="宋体" w:cs="宋体"/>
          <w:color w:val="FF0000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type w:val="continuous"/>
          <w:pgSz w:w="11906" w:h="16838"/>
          <w:pgMar w:top="1440" w:right="1753" w:bottom="1440" w:left="1753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（5）四大工程的建设，告诉我们在促进区域经济可持续发展中，必须</w:t>
      </w:r>
      <w:r>
        <w:rPr>
          <w:rFonts w:hint="eastAsia" w:ascii="宋体" w:hAnsi="宋体" w:cs="宋体"/>
          <w:color w:val="FF000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>。</w:t>
      </w:r>
    </w:p>
    <w:p>
      <w:pPr>
        <w:pStyle w:val="4"/>
        <w:tabs>
          <w:tab w:val="left" w:pos="2552"/>
          <w:tab w:val="left" w:pos="4678"/>
          <w:tab w:val="left" w:pos="6663"/>
        </w:tabs>
        <w:spacing w:line="360" w:lineRule="auto"/>
        <w:rPr>
          <w:rFonts w:hint="default" w:ascii="宋体" w:hAnsi="宋体" w:cs="宋体"/>
          <w:sz w:val="21"/>
          <w:szCs w:val="21"/>
          <w:lang w:val="en-US" w:eastAsia="zh-CN"/>
        </w:rPr>
      </w:pPr>
    </w:p>
    <w:p>
      <w:pPr>
        <w:pStyle w:val="4"/>
        <w:tabs>
          <w:tab w:val="left" w:pos="2552"/>
          <w:tab w:val="left" w:pos="4678"/>
          <w:tab w:val="left" w:pos="6663"/>
        </w:tabs>
        <w:spacing w:line="360" w:lineRule="auto"/>
        <w:rPr>
          <w:rFonts w:hint="default" w:ascii="宋体" w:hAnsi="宋体" w:cs="宋体"/>
          <w:sz w:val="21"/>
          <w:szCs w:val="21"/>
          <w:lang w:val="en-US" w:eastAsia="zh-CN"/>
        </w:rPr>
      </w:pPr>
    </w:p>
    <w:p>
      <w:pPr>
        <w:pStyle w:val="4"/>
        <w:tabs>
          <w:tab w:val="left" w:pos="2552"/>
          <w:tab w:val="left" w:pos="4678"/>
          <w:tab w:val="left" w:pos="6663"/>
        </w:tabs>
        <w:spacing w:line="360" w:lineRule="auto"/>
        <w:rPr>
          <w:rFonts w:hint="default" w:ascii="宋体" w:hAnsi="宋体" w:cs="宋体"/>
          <w:sz w:val="21"/>
          <w:szCs w:val="21"/>
          <w:lang w:val="en-US" w:eastAsia="zh-CN"/>
        </w:rPr>
      </w:pPr>
    </w:p>
    <w:p>
      <w:pPr>
        <w:pStyle w:val="4"/>
        <w:tabs>
          <w:tab w:val="left" w:pos="2552"/>
          <w:tab w:val="left" w:pos="4678"/>
          <w:tab w:val="left" w:pos="6663"/>
        </w:tabs>
        <w:spacing w:line="360" w:lineRule="auto"/>
        <w:rPr>
          <w:rFonts w:hint="eastAsia" w:hAnsi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答案</w:t>
      </w:r>
    </w:p>
    <w:p>
      <w:pPr>
        <w:pStyle w:val="4"/>
        <w:tabs>
          <w:tab w:val="left" w:pos="2552"/>
          <w:tab w:val="left" w:pos="4678"/>
          <w:tab w:val="left" w:pos="6663"/>
        </w:tabs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hAnsi="宋体" w:cs="宋体"/>
          <w:color w:val="FF0000"/>
          <w:sz w:val="21"/>
          <w:szCs w:val="21"/>
          <w:lang w:val="en-US" w:eastAsia="zh-CN"/>
        </w:rPr>
        <w:t>1-15：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CD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 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ABAC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 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AACAAAD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A</w:t>
      </w:r>
    </w:p>
    <w:p>
      <w:pPr>
        <w:adjustRightInd w:val="0"/>
        <w:snapToGrid w:val="0"/>
        <w:spacing w:line="286" w:lineRule="auto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hAnsi="宋体" w:cs="宋体"/>
          <w:color w:val="FF0000"/>
          <w:sz w:val="21"/>
          <w:szCs w:val="21"/>
          <w:lang w:val="en-US" w:eastAsia="zh-CN"/>
        </w:rPr>
        <w:t>16</w:t>
      </w:r>
      <w:r>
        <w:rPr>
          <w:rFonts w:hint="eastAsia" w:asciiTheme="majorEastAsia" w:hAnsiTheme="majorEastAsia" w:eastAsiaTheme="majorEastAsia" w:cstheme="majorEastAsia"/>
          <w:szCs w:val="21"/>
        </w:rPr>
        <w:t>（1）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高寒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青藏铁路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（3）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内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（4）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黄河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（5）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u w:val="single"/>
          <w:lang w:val="en-US" w:eastAsia="zh-CN"/>
        </w:rPr>
        <w:t>太阳能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（6）</w:t>
      </w:r>
      <w:r>
        <w:rPr>
          <w:rFonts w:hint="eastAsia" w:ascii="宋体" w:hAnsi="宋体" w:eastAsia="宋体" w:cs="宋体"/>
          <w:sz w:val="21"/>
          <w:szCs w:val="21"/>
        </w:rPr>
        <w:t>（ 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>西气东输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>西电东送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>高寒缺氧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>西部地区地势崎岖，河流落差大，水能资源丰富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>缓解能源紧张的矛盾，改善能源消费结构，有利于环境保护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5" w:type="default"/>
          <w:footerReference r:id="rId6" w:type="default"/>
          <w:type w:val="continuous"/>
          <w:pgSz w:w="11906" w:h="16838"/>
          <w:pgMar w:top="1440" w:right="1753" w:bottom="1440" w:left="1753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（5）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>加强区域之间的联系，发挥各自的优势，分工协作，互惠互利，使资源得到充分的利用。</w:t>
      </w:r>
    </w:p>
    <w:p>
      <w:pPr>
        <w:pStyle w:val="2"/>
        <w:rPr>
          <w:rFonts w:hint="default" w:eastAsia="宋体"/>
          <w:lang w:val="en-US" w:eastAsia="zh-CN"/>
        </w:rPr>
      </w:pPr>
    </w:p>
    <w:p>
      <w:pPr>
        <w:pStyle w:val="4"/>
        <w:tabs>
          <w:tab w:val="left" w:pos="2552"/>
          <w:tab w:val="left" w:pos="4678"/>
          <w:tab w:val="left" w:pos="6663"/>
        </w:tabs>
        <w:spacing w:line="360" w:lineRule="auto"/>
        <w:rPr>
          <w:rFonts w:hint="default" w:ascii="宋体" w:hAnsi="宋体" w:eastAsia="宋体" w:cs="宋体"/>
          <w:color w:val="FF0000"/>
          <w:sz w:val="21"/>
          <w:szCs w:val="21"/>
          <w:lang w:val="en-US" w:eastAsia="zh-CN"/>
        </w:rPr>
        <w:sectPr>
          <w:headerReference r:id="rId7" w:type="default"/>
          <w:footerReference r:id="rId8" w:type="default"/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AndChars" w:linePitch="398" w:charSpace="-482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49" o:spid="_x0000_s2049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5" name="图片 12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图片 12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z-index:-25164595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" name="图片 12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2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o:spt="136" alt="学科网 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8" name="图片 6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6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3" name="图片 8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8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8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8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6" name="图片 2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2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83A072"/>
    <w:multiLevelType w:val="singleLevel"/>
    <w:tmpl w:val="A283A07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FB5727CC"/>
    <w:multiLevelType w:val="singleLevel"/>
    <w:tmpl w:val="FB5727CC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14561D7A"/>
    <w:multiLevelType w:val="singleLevel"/>
    <w:tmpl w:val="14561D7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B2DD221"/>
    <w:multiLevelType w:val="singleLevel"/>
    <w:tmpl w:val="4B2DD221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99"/>
  <w:drawingGridVerticalSpacing w:val="199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wZjQ0ZGMzMmNkOTlhMTZkNmZiNmZmMTZlZTA4NjcifQ=="/>
  </w:docVars>
  <w:rsids>
    <w:rsidRoot w:val="003072D4"/>
    <w:rsid w:val="000417C8"/>
    <w:rsid w:val="00042A4B"/>
    <w:rsid w:val="00071281"/>
    <w:rsid w:val="00180FC5"/>
    <w:rsid w:val="001C0D01"/>
    <w:rsid w:val="002169DA"/>
    <w:rsid w:val="002203D3"/>
    <w:rsid w:val="00270468"/>
    <w:rsid w:val="00270EE1"/>
    <w:rsid w:val="003072D4"/>
    <w:rsid w:val="0035136B"/>
    <w:rsid w:val="00355941"/>
    <w:rsid w:val="00360831"/>
    <w:rsid w:val="00366D47"/>
    <w:rsid w:val="00382902"/>
    <w:rsid w:val="003C0640"/>
    <w:rsid w:val="003D2882"/>
    <w:rsid w:val="00485E83"/>
    <w:rsid w:val="004C5F1C"/>
    <w:rsid w:val="004E2CF9"/>
    <w:rsid w:val="004E3246"/>
    <w:rsid w:val="004F0032"/>
    <w:rsid w:val="0055107E"/>
    <w:rsid w:val="005C7D01"/>
    <w:rsid w:val="005D6ADA"/>
    <w:rsid w:val="00616A8F"/>
    <w:rsid w:val="00733637"/>
    <w:rsid w:val="00754659"/>
    <w:rsid w:val="007632C9"/>
    <w:rsid w:val="008B2DA1"/>
    <w:rsid w:val="009540E6"/>
    <w:rsid w:val="0097387E"/>
    <w:rsid w:val="00975A2F"/>
    <w:rsid w:val="00A34B49"/>
    <w:rsid w:val="00A627EC"/>
    <w:rsid w:val="00AB1895"/>
    <w:rsid w:val="00AC5EF3"/>
    <w:rsid w:val="00BC576A"/>
    <w:rsid w:val="00BD5C2D"/>
    <w:rsid w:val="00C43971"/>
    <w:rsid w:val="00C875A3"/>
    <w:rsid w:val="00CE6B75"/>
    <w:rsid w:val="00D01278"/>
    <w:rsid w:val="00E126D9"/>
    <w:rsid w:val="00E57A66"/>
    <w:rsid w:val="00EF317C"/>
    <w:rsid w:val="00F17C5D"/>
    <w:rsid w:val="010F1DA1"/>
    <w:rsid w:val="01396E1E"/>
    <w:rsid w:val="01C04E49"/>
    <w:rsid w:val="03DA48E8"/>
    <w:rsid w:val="040C0819"/>
    <w:rsid w:val="04114082"/>
    <w:rsid w:val="04365896"/>
    <w:rsid w:val="05864709"/>
    <w:rsid w:val="06AB431A"/>
    <w:rsid w:val="07615B31"/>
    <w:rsid w:val="07A019A5"/>
    <w:rsid w:val="07E124E6"/>
    <w:rsid w:val="08872B64"/>
    <w:rsid w:val="08E1421E"/>
    <w:rsid w:val="09436A8B"/>
    <w:rsid w:val="0A0501E5"/>
    <w:rsid w:val="0A0A57FB"/>
    <w:rsid w:val="0AF971B9"/>
    <w:rsid w:val="0BF13C1C"/>
    <w:rsid w:val="0BF56037"/>
    <w:rsid w:val="0C165857"/>
    <w:rsid w:val="0C931AD8"/>
    <w:rsid w:val="0CF74B8D"/>
    <w:rsid w:val="0DB37F58"/>
    <w:rsid w:val="0ECA2553"/>
    <w:rsid w:val="0EF83E74"/>
    <w:rsid w:val="0F274759"/>
    <w:rsid w:val="101F18D4"/>
    <w:rsid w:val="10621A77"/>
    <w:rsid w:val="106A2B50"/>
    <w:rsid w:val="10CD1330"/>
    <w:rsid w:val="11146F5F"/>
    <w:rsid w:val="12047E29"/>
    <w:rsid w:val="12727639"/>
    <w:rsid w:val="134E49AB"/>
    <w:rsid w:val="13A50343"/>
    <w:rsid w:val="152359C3"/>
    <w:rsid w:val="159E46E1"/>
    <w:rsid w:val="192F2B88"/>
    <w:rsid w:val="1A2521DD"/>
    <w:rsid w:val="1B7156DA"/>
    <w:rsid w:val="1BA25FC6"/>
    <w:rsid w:val="1D0E0D07"/>
    <w:rsid w:val="1FD55A73"/>
    <w:rsid w:val="202B402C"/>
    <w:rsid w:val="20666FB5"/>
    <w:rsid w:val="209D2ACD"/>
    <w:rsid w:val="217A4BBD"/>
    <w:rsid w:val="220C7002"/>
    <w:rsid w:val="22941CAE"/>
    <w:rsid w:val="2320282F"/>
    <w:rsid w:val="23ED7A0E"/>
    <w:rsid w:val="24003A9F"/>
    <w:rsid w:val="242B376B"/>
    <w:rsid w:val="242F7EE0"/>
    <w:rsid w:val="253C17ED"/>
    <w:rsid w:val="25650AEC"/>
    <w:rsid w:val="26307F40"/>
    <w:rsid w:val="2681079B"/>
    <w:rsid w:val="26B11AC8"/>
    <w:rsid w:val="2714160F"/>
    <w:rsid w:val="282126D0"/>
    <w:rsid w:val="29A0718A"/>
    <w:rsid w:val="2A110088"/>
    <w:rsid w:val="2AD96CA6"/>
    <w:rsid w:val="2BE041B6"/>
    <w:rsid w:val="2CA376BD"/>
    <w:rsid w:val="2E390605"/>
    <w:rsid w:val="2ED022C0"/>
    <w:rsid w:val="2FB7522E"/>
    <w:rsid w:val="3091083F"/>
    <w:rsid w:val="332139EF"/>
    <w:rsid w:val="34FF56AD"/>
    <w:rsid w:val="366003CD"/>
    <w:rsid w:val="37784A93"/>
    <w:rsid w:val="37F30DCD"/>
    <w:rsid w:val="37F7436E"/>
    <w:rsid w:val="39167469"/>
    <w:rsid w:val="396C1228"/>
    <w:rsid w:val="3A4F2C33"/>
    <w:rsid w:val="3A6B5A2C"/>
    <w:rsid w:val="3ABE79DF"/>
    <w:rsid w:val="3AF85078"/>
    <w:rsid w:val="3B183024"/>
    <w:rsid w:val="3B783AC3"/>
    <w:rsid w:val="3C2974B3"/>
    <w:rsid w:val="3C704FF7"/>
    <w:rsid w:val="3D0777F5"/>
    <w:rsid w:val="40F94801"/>
    <w:rsid w:val="41864735"/>
    <w:rsid w:val="41BB0BAE"/>
    <w:rsid w:val="42957651"/>
    <w:rsid w:val="447F18D2"/>
    <w:rsid w:val="45F823D0"/>
    <w:rsid w:val="47B42327"/>
    <w:rsid w:val="4AA04DE4"/>
    <w:rsid w:val="4C72455F"/>
    <w:rsid w:val="4CDA5787"/>
    <w:rsid w:val="4DD012BF"/>
    <w:rsid w:val="4DED20EF"/>
    <w:rsid w:val="4E4D7031"/>
    <w:rsid w:val="4F38342C"/>
    <w:rsid w:val="4F667372"/>
    <w:rsid w:val="4F8B1BBF"/>
    <w:rsid w:val="51112598"/>
    <w:rsid w:val="51735001"/>
    <w:rsid w:val="52173BDE"/>
    <w:rsid w:val="52E53CDC"/>
    <w:rsid w:val="562C5656"/>
    <w:rsid w:val="56504F2C"/>
    <w:rsid w:val="566162F8"/>
    <w:rsid w:val="567333AD"/>
    <w:rsid w:val="56EF6ED8"/>
    <w:rsid w:val="57503078"/>
    <w:rsid w:val="582E3A30"/>
    <w:rsid w:val="58EF1411"/>
    <w:rsid w:val="59251180"/>
    <w:rsid w:val="5B9462A0"/>
    <w:rsid w:val="5EB255C1"/>
    <w:rsid w:val="5F311AEF"/>
    <w:rsid w:val="5F7D704B"/>
    <w:rsid w:val="5FF87C94"/>
    <w:rsid w:val="60803296"/>
    <w:rsid w:val="620B4DE2"/>
    <w:rsid w:val="621B3277"/>
    <w:rsid w:val="62A3061F"/>
    <w:rsid w:val="62B9483E"/>
    <w:rsid w:val="62F87114"/>
    <w:rsid w:val="63590597"/>
    <w:rsid w:val="63A23524"/>
    <w:rsid w:val="6429050D"/>
    <w:rsid w:val="65134673"/>
    <w:rsid w:val="669730E8"/>
    <w:rsid w:val="67161D77"/>
    <w:rsid w:val="68C9594C"/>
    <w:rsid w:val="68CF496F"/>
    <w:rsid w:val="696C3E1E"/>
    <w:rsid w:val="69AE49D0"/>
    <w:rsid w:val="6A3875E6"/>
    <w:rsid w:val="6C7A3290"/>
    <w:rsid w:val="6CAD20DB"/>
    <w:rsid w:val="6D4D2752"/>
    <w:rsid w:val="6D6A50B2"/>
    <w:rsid w:val="6D7D3037"/>
    <w:rsid w:val="6D84338A"/>
    <w:rsid w:val="6FEF189F"/>
    <w:rsid w:val="701F03D6"/>
    <w:rsid w:val="717B788E"/>
    <w:rsid w:val="72476452"/>
    <w:rsid w:val="73A07537"/>
    <w:rsid w:val="748C2BB1"/>
    <w:rsid w:val="7530273D"/>
    <w:rsid w:val="75EA4FE2"/>
    <w:rsid w:val="76D22730"/>
    <w:rsid w:val="779F004E"/>
    <w:rsid w:val="77CE623E"/>
    <w:rsid w:val="787F3BBA"/>
    <w:rsid w:val="797061ED"/>
    <w:rsid w:val="79EF4613"/>
    <w:rsid w:val="7A6E3ABE"/>
    <w:rsid w:val="7BFC49A8"/>
    <w:rsid w:val="7C7970C0"/>
    <w:rsid w:val="7D603DDC"/>
    <w:rsid w:val="7D8A4FDD"/>
    <w:rsid w:val="7E7924C7"/>
    <w:rsid w:val="7F2A72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2"/>
    <customShpInfo spid="_x0000_s2055"/>
    <customShpInfo spid="_x0000_s2056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2303</Words>
  <Characters>2391</Characters>
  <Lines>19</Lines>
  <Paragraphs>5</Paragraphs>
  <TotalTime>0</TotalTime>
  <ScaleCrop>false</ScaleCrop>
  <LinksUpToDate>false</LinksUpToDate>
  <CharactersWithSpaces>2904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2022-06-20T03:32:00Z</dcterms:created>
  <dc:creator>Administrator</dc:creator>
  <cp:lastModifiedBy>Administrator</cp:lastModifiedBy>
  <dcterms:modified xsi:type="dcterms:W3CDTF">2023-01-09T02:32:53Z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