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11671300</wp:posOffset>
            </wp:positionV>
            <wp:extent cx="317500" cy="279400"/>
            <wp:effectExtent l="0" t="0" r="635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人教版物理九年级全一册 第二十章电与磁 章节培优训练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以下哪种物理现象的发现和利用，实现了电能大规模生产，使人们从蒸汽时代进入电气时代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A．电磁感应现象　　　　　　　　　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B．电流通过导体发热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C．电流的磁效应　　　　　　　　　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D．通电线圈在磁场中会转动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下列设备的工作原理是电磁感应现象的是（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A．扬声器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B．发电机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C．电动机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D．电磁铁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下列说法正确的是（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A．物体的速度越大，其惯性越大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B．电磁波不能在真空中传播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C．摩擦起电的实质是电子从一个物体转移到了另一个物体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D．磁感线是磁场中真实存在的曲线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下列关于电磁感应的论述中，正确的是（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A．电磁感应就是电流的磁效应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B．电磁感应现象说明利用磁场可以产生电流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C．奥斯特的实验说明利用磁场可以产生电流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D．在电磁感应现象中电能转化为机械能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为了探究电磁铁的磁性强弱与哪些因素有关，某同学使用两个相同的大铁钉绕制成电磁铁进行实验，如图所示，下列说法中正确的是（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56055" cy="8801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6267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A．要使电磁铁的磁性增强，滑动变阻器的滑片应向右滑动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B．用电磁铁吸引大头针的数目显示它的磁性强弱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C．两电磁铁的线圈串联是为了探究磁性强弱与电流的关系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D．B线圈的匝数多说明通过B线圈的电流小于通过A线圈的电流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直流电动机换向器的作用是（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A．改变线圈的转动方向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B．改变线圈中的电流方向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C．改变磁感线的方向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D．以上作用同时存在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下图是温度自动报警器的原理图，它运用了许多物理知识。以下说法中不正确的是(　　)</w:t>
      </w:r>
      <w:r>
        <w:br w:type="textWrapping"/>
      </w:r>
      <w:r>
        <w:drawing>
          <wp:inline distT="0" distB="0" distL="0" distR="0">
            <wp:extent cx="1400175" cy="942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A．温度计中的水银是导体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B．温度计是根据液体热胀冷缩的性质工作的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C．报警器中的电磁铁运用了电流的热效应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D．电磁继电器是一种电路开关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弹簧测力计下悬挂一条形磁铁，磁铁下方有一螺线管，如图所示．闭合开关，条形磁铁稳定后，弹簧测力计的示数为F．下列做法能使F变大的是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33450" cy="1409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​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A．增加线圈匝数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B．对调电源正负极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C．往螺线管中插入铁芯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D．滑动变阻器滑片P向a端移动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关于磁场和磁感线的下列说法中错误的是（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A．磁感线是磁场中确实存在的一些曲线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B．磁场中静止的小磁针的N极的指向即为该点的磁场方向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C．条形磁铁周围的磁感线是从N极出发指向S极的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D．指南针指南北是因为地球周围存在磁场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小利同学观察到学校楼道里的消防应急灯，平时灯是熄的，一旦停电，两盏标有“36V”灯泡就会正常发光．图所示是小利设计的四个电路，其中可以起到消防应急灯作用的电路是（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152525" cy="8477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209675" cy="857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143000" cy="9810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1152525" cy="8572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如图所示，弹簧测力计挂着上端为N极的条形磁铁，磁铁下方有一通电螺线管，闭合开关，将滑动变阻器滑片向左移动，在移动过程中，弹簧测力计示数变化情况是（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90600" cy="9525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​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Arial" w:hAnsi="Arial"/>
          <w:b w:val="0"/>
          <w:i w:val="0"/>
          <w:color w:val="000000"/>
          <w:sz w:val="18"/>
        </w:rPr>
        <w:t>不变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Arial" w:hAnsi="Arial"/>
          <w:b w:val="0"/>
          <w:i w:val="0"/>
          <w:color w:val="000000"/>
          <w:sz w:val="18"/>
        </w:rPr>
        <w:t>变大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Arial" w:hAnsi="Arial"/>
          <w:b w:val="0"/>
          <w:i w:val="0"/>
          <w:color w:val="000000"/>
          <w:sz w:val="18"/>
        </w:rPr>
        <w:t>变小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Arial" w:hAnsi="Arial"/>
          <w:b w:val="0"/>
          <w:i w:val="0"/>
          <w:color w:val="000000"/>
          <w:sz w:val="18"/>
        </w:rPr>
        <w:t xml:space="preserve"> 无法判断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如图所示的甲、乙两图中的矩形线圈，现在给它们通电，则下列说法正确的是（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419350" cy="1028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A．甲中线圈转动，乙中线圈不转动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B．乙中线圈转动，甲中线圈不转动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C．甲、乙中的线圈都会转动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D．甲、乙中的线圈都不会转动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要改变通电导线在磁场中的受力方向，可以通过改变电流方向或改变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方向来实现；发电机的出现是人类历史上一次重大革命，发电机是利用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现象制成的。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话筒的作用是：当人对着话筒说话时，声波使话筒里振动膜做相应振动，使金属盒里的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发生忽松忽紧地挤压变化，它的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也就随之发生忽大忽小的变化，这时电路里就产生了强弱按声音振动而变化的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组装直流电动机后，接通电源，若出现下表左边的现象，请分析原因，然后将右边的故障现象填在括号内（填写选项）：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2"/>
        <w:gridCol w:w="286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转动较慢，显得很吃力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2868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A．摩擦阻力太大</w:t>
            </w:r>
          </w:p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B．换向器与电刷接触不良</w:t>
            </w:r>
          </w:p>
          <w:p>
            <w:pPr>
              <w:spacing w:line="360" w:lineRule="auto"/>
              <w:ind w:left="120"/>
              <w:jc w:val="left"/>
            </w:pPr>
            <w:r>
              <w:br w:type="textWrapping"/>
            </w:r>
          </w:p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C．启动前线圈刚好处于平衡位置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②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刚接通电源时，电动机不转，但用手轻轻拔动一下线圈，电动机就能顺利转动起来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2868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③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电动机不转，将电刷与换向器之间的压力调大些，电动机才能转动起来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2868" w:type="dxa"/>
            <w:vMerge w:val="continue"/>
            <w:tcBorders>
              <w:top w:val="nil"/>
              <w:left w:val="outset" w:color="000000" w:sz="8" w:space="0"/>
              <w:bottom w:val="outset" w:color="000000" w:sz="8" w:space="0"/>
              <w:right w:val="outset" w:color="000000" w:sz="8" w:space="0"/>
            </w:tcBorders>
          </w:tcPr>
          <w:p>
            <w:pPr>
              <w:spacing w:line="360" w:lineRule="auto"/>
            </w:pPr>
          </w:p>
        </w:tc>
      </w:tr>
    </w:tbl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如图是新型武器——电磁炮的原理简化图。炮弹上固定的金属杆和金属轨道接触，并与电源构成闭合电路，通电后金属杆就会受到向右的力，于是将炮弹发射出去。电磁炮的发射过程中将电能转化为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能，如果同时改变磁场方向和金属杆中的电流方向，金属杆将会受到向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（填“左”或“右”）的力。电磁炮的发射原理与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（填“扬声器”或“麦克风”）的原理相同。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962400" cy="2235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如图所示为一种温度自动报警器的原理图，图中的水银温度计在制作时，玻璃管中封入一段金属丝，电源的两极分别与水银和金属丝相连，当温度达到金属丝下端所指的温度时，电流通过电磁铁的线圈产生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，电铃响起，发出报警信号，电磁铁的a端为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极，若将温度计上端的金属丝向下调整，则报警温度将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（选填“升高”或“降低”）．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52600" cy="1409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三、作图题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在图中，根据闭合开关后小磁针N极静止时的指向，标出电源的正负极，并用箭头标出磁感线的方向．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33525" cy="9429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四、实验探究题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如图1所示，是研究“磁场对通电导体的作用”的实验．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6120130" cy="12992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（1）开关闭合后，通电导体a从静止向右运动．这说明磁场对通电导体有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的作用．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（2）仅把磁体左右换位，如图2所示．开关闭合后，通电导体a是否会向右运动？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答: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．原因是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（3）若要研究“通电导体的受力方向与电流方向的关系”，应把图1的电路如何改装?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答: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在“探究什么情况下磁可以生电”的实验中，连接了如图所示的实验装置。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91310" cy="113411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（1）实验中，通过观察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来判断电路中是否有感应电流；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（2）闭合开关后，要使电路中形成感应电流，导体ab应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（填“上下”或“左右”）运动，这是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现象，利用这一原理可制成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（3）如果将灵敏电流计换成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，可以观察磁场对通电导体的作用；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（4）要使灵敏电流计指针偏转方向发生改变，可以采取的方法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（答出一种方法即可）。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小勇利用如图所示的实验装置“探究导体在磁场中运动时产生感应电流的条件”，他将实验中观察到的现象记录在下表中．</w:t>
      </w:r>
      <w:r>
        <w:br w:type="textWrapping"/>
      </w:r>
      <w:r>
        <w:drawing>
          <wp:inline distT="0" distB="0" distL="0" distR="0">
            <wp:extent cx="1438275" cy="1123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056"/>
        <w:gridCol w:w="1605"/>
        <w:gridCol w:w="1959"/>
        <w:gridCol w:w="33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次数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开关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磁场方向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导体AB的</w:t>
            </w:r>
          </w:p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运动方向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电流表指针的偏转方向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断开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上N下S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向右运动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不偏转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闭合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上N下S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向右运动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向左偏转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闭合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上N下S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向左运动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向右偏转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闭合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上N下S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向上运动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不偏转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闭合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上S下N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向下运动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不偏转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闭合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上S下N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向右运动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向右偏转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闭合</w:t>
            </w:r>
          </w:p>
        </w:tc>
        <w:tc>
          <w:tcPr>
            <w:tcW w:w="160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上S下N</w:t>
            </w:r>
          </w:p>
        </w:tc>
        <w:tc>
          <w:tcPr>
            <w:tcW w:w="195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向左运动</w:t>
            </w:r>
          </w:p>
        </w:tc>
        <w:tc>
          <w:tcPr>
            <w:tcW w:w="3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向左偏转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（1）分析得出：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电路中的部分导体在磁场里做切割磁感线运动时，导体中就会产生感应电流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（2）比较实验2和3（或6和7）可知：在磁场方向一定时，感应电流的方向与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有关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（3）比较实验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可知：在导体切割磁感线运动方向不变时，感应电流的方向与磁场方向有关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（4）这个现象在生产和生活中的重要应用是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（5）针对这个实验，小勇进行了进一步的探究，他提出了“感应电流的大小可能与导体切割磁感线的运动速度有关”的猜想，于是他设计了如下的实验方案：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保持磁场强弱不变，让导体AB以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（填“相同”或“不同”）的速度沿相同方向做切割磁感线运动，观察电流表指针偏转幅度大小．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如果电流表指针偏转幅度不同，说明感应电流的大小与导体切割磁感线运动速度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（填“有关”或“无关”）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五、计算题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如图所示为某兴趣小组为学校办公楼空调设计的自动控制装置，R是热敏电阻，其阻值随温度变化关系如下表所示。已知继电器的线圈电阻</w:t>
      </w:r>
      <w:r>
        <w:drawing>
          <wp:inline distT="0" distB="0" distL="0" distR="0">
            <wp:extent cx="533400" cy="171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，左边电源电压为6V恒定不变。当继电器线圈中的电流大于或等于15mA时，继电器的衔铁被吸合，右边的空调电路正常工作。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881"/>
        <w:gridCol w:w="881"/>
        <w:gridCol w:w="881"/>
        <w:gridCol w:w="881"/>
        <w:gridCol w:w="881"/>
        <w:gridCol w:w="882"/>
        <w:gridCol w:w="882"/>
        <w:gridCol w:w="882"/>
        <w:gridCol w:w="88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温度t/℃</w:t>
            </w:r>
          </w:p>
        </w:tc>
        <w:tc>
          <w:tcPr>
            <w:tcW w:w="881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</w:t>
            </w:r>
          </w:p>
        </w:tc>
        <w:tc>
          <w:tcPr>
            <w:tcW w:w="881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</w:t>
            </w:r>
          </w:p>
        </w:tc>
        <w:tc>
          <w:tcPr>
            <w:tcW w:w="881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</w:t>
            </w:r>
          </w:p>
        </w:tc>
        <w:tc>
          <w:tcPr>
            <w:tcW w:w="881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15</w:t>
            </w:r>
          </w:p>
        </w:tc>
        <w:tc>
          <w:tcPr>
            <w:tcW w:w="881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20</w:t>
            </w:r>
          </w:p>
        </w:tc>
        <w:tc>
          <w:tcPr>
            <w:tcW w:w="88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25</w:t>
            </w:r>
          </w:p>
        </w:tc>
        <w:tc>
          <w:tcPr>
            <w:tcW w:w="88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30</w:t>
            </w:r>
          </w:p>
        </w:tc>
        <w:tc>
          <w:tcPr>
            <w:tcW w:w="88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35</w:t>
            </w:r>
          </w:p>
        </w:tc>
        <w:tc>
          <w:tcPr>
            <w:tcW w:w="882" w:type="dxa"/>
            <w:tcBorders>
              <w:top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tcBorders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电阻R/Ω</w:t>
            </w:r>
          </w:p>
        </w:tc>
        <w:tc>
          <w:tcPr>
            <w:tcW w:w="881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600</w:t>
            </w:r>
          </w:p>
        </w:tc>
        <w:tc>
          <w:tcPr>
            <w:tcW w:w="881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550</w:t>
            </w:r>
          </w:p>
        </w:tc>
        <w:tc>
          <w:tcPr>
            <w:tcW w:w="881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500</w:t>
            </w:r>
          </w:p>
        </w:tc>
        <w:tc>
          <w:tcPr>
            <w:tcW w:w="881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450</w:t>
            </w:r>
          </w:p>
        </w:tc>
        <w:tc>
          <w:tcPr>
            <w:tcW w:w="881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420</w:t>
            </w:r>
          </w:p>
        </w:tc>
        <w:tc>
          <w:tcPr>
            <w:tcW w:w="88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390</w:t>
            </w:r>
          </w:p>
        </w:tc>
        <w:tc>
          <w:tcPr>
            <w:tcW w:w="88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360</w:t>
            </w:r>
          </w:p>
        </w:tc>
        <w:tc>
          <w:tcPr>
            <w:tcW w:w="88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330</w:t>
            </w:r>
          </w:p>
        </w:tc>
        <w:tc>
          <w:tcPr>
            <w:tcW w:w="882" w:type="dxa"/>
            <w:tcBorders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300</w:t>
            </w:r>
          </w:p>
        </w:tc>
      </w:tr>
    </w:tbl>
    <w:p>
      <w:pPr>
        <w:spacing w:line="360" w:lineRule="auto"/>
        <w:ind w:firstLine="273" w:firstLineChars="130"/>
        <w:jc w:val="left"/>
        <w:textAlignment w:val="center"/>
      </w:pPr>
      <w:r>
        <w:br w:type="textWrapping"/>
      </w:r>
      <w:r>
        <w:drawing>
          <wp:inline distT="0" distB="0" distL="0" distR="0">
            <wp:extent cx="1352550" cy="1009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⑴请说明该自动控制装置的工作原理。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⑵计算说明该空调的启动温度是多少？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⑶为了节省电能，将空调启动温度设定为30℃，控制电路中需要串联多大的电阻？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⑷改变控制电路的电阻可以给空调设定不同的启动温度，除此之外，请你再提出一种方便可行的调节方案。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磁场；电磁感应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碳粒；电阻；电流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A；C；B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机械；右；扬声器</w:t>
      </w:r>
    </w:p>
    <w:p>
      <w:pPr>
        <w:spacing w:line="36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磁性，吸引衔铁；S；降低．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drawing>
          <wp:inline distT="0" distB="0" distL="0" distR="0">
            <wp:extent cx="1514475" cy="9715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（2）会；磁场和电流的方向都不变，受力方向不变，仍按原来方向向右运动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（3）把电源正负极接线反接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（1）灵敏电流计的指针是否偏转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（2）左右；电磁感应；发电机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（3）电源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（4）保持磁场方向不变，改变导体的运动方向（或保持导体的运动方向不变，改变磁场方向）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（1）闭合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（2）导体切割磁感线运动方向（导体运动方向）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（3）2、6或3、7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（4）发电机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（5）不同；有关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（1）随室内温度的升高，热敏电阻的阻值减小，控制电路中电流增大，当电流达到15mA时，衔铁被吸合，右侧空调电路连通，空调开始工作．当温度下降时，控制电路电阻增大，电流减小，减小到一定值，使空调电路断开，这样就实现了自动控制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（2）电路启动时的总电阻：</w:t>
      </w:r>
      <w:r>
        <w:drawing>
          <wp:inline distT="0" distB="0" distL="0" distR="0">
            <wp:extent cx="1676400" cy="3905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此时热敏电阻的阻值：</w:t>
      </w:r>
      <w:r>
        <w:drawing>
          <wp:inline distT="0" distB="0" distL="0" distR="0">
            <wp:extent cx="2295525" cy="247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对照表格数据可知，此时的启动温度是25℃．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（3）因为电路启动时的总电阻为400Ω，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由表中数据可知，空调启动温度设定为30℃时，热敏电阻的阻值为360Ω，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则电路中还应串联的电阻：</w:t>
      </w:r>
      <w:r>
        <w:drawing>
          <wp:inline distT="0" distB="0" distL="0" distR="0">
            <wp:extent cx="3009900" cy="247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（4）因为本装置启动的电流是一定的，因此，既可通过改变电阻来改变电流，可以通过将左边电源改为可调压电源来实现对其控制。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  <w:docVar w:name="KSO_WPS_MARK_KEY" w:val="6254bb44-0589-4de6-92b5-28c9732be9b4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27BD42AE"/>
    <w:rsid w:val="6B56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3602</Words>
  <Characters>3694</Characters>
  <Lines>0</Lines>
  <Paragraphs>0</Paragraphs>
  <TotalTime>21</TotalTime>
  <ScaleCrop>false</ScaleCrop>
  <LinksUpToDate>false</LinksUpToDate>
  <CharactersWithSpaces>4192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2023-02-19T07:40:28Z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