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等线" w:hAnsi="等线" w:eastAsia="等线" w:cs="等线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b/>
          <w:bCs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12128500</wp:posOffset>
            </wp:positionV>
            <wp:extent cx="3937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等线"/>
          <w:b/>
          <w:bCs/>
          <w:color w:val="auto"/>
          <w:sz w:val="28"/>
          <w:szCs w:val="28"/>
          <w:lang w:val="en-US" w:eastAsia="zh-CN"/>
        </w:rPr>
        <w:t>2022年秋八年级语文试卷答案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积累•运用（18分）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（1）</w:t>
      </w:r>
      <w:r>
        <w:rPr>
          <w:rFonts w:hint="eastAsia" w:eastAsia="宋体"/>
          <w:lang w:val="en-US" w:eastAsia="zh-CN"/>
        </w:rPr>
        <w:t>霖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（2）</w:t>
      </w:r>
      <w:r>
        <w:rPr>
          <w:rFonts w:hint="eastAsia" w:eastAsia="宋体"/>
          <w:lang w:val="en-US" w:eastAsia="zh-CN"/>
        </w:rPr>
        <w:t>谛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  （3）</w:t>
      </w:r>
      <w:r>
        <w:rPr>
          <w:rFonts w:hint="eastAsia" w:eastAsia="宋体"/>
          <w:lang w:val="en-US" w:eastAsia="zh-CN"/>
        </w:rPr>
        <w:t>濡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 （4）</w:t>
      </w:r>
      <w:r>
        <w:rPr>
          <w:rFonts w:hint="eastAsia" w:eastAsia="宋体"/>
          <w:lang w:val="en-US" w:eastAsia="zh-CN"/>
        </w:rPr>
        <w:t>糙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（5）</w:t>
      </w:r>
      <w:r>
        <w:rPr>
          <w:rFonts w:hint="eastAsia" w:eastAsia="宋体"/>
          <w:lang w:val="en-US" w:eastAsia="zh-CN"/>
        </w:rPr>
        <w:t>装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 （6）笼</w:t>
      </w:r>
    </w:p>
    <w:p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6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 （3）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   （4）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 （5）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（6）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A</w:t>
      </w:r>
    </w:p>
    <w:p>
      <w:pPr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幸福</w:t>
      </w:r>
      <w:r>
        <w:rPr>
          <w:rFonts w:hint="default" w:eastAsia="宋体"/>
          <w:u w:val="none"/>
          <w:lang w:val="en-US" w:eastAsia="zh-CN"/>
        </w:rPr>
        <w:t>像</w:t>
      </w:r>
      <w:r>
        <w:rPr>
          <w:rFonts w:hint="eastAsia"/>
          <w:u w:val="none"/>
          <w:lang w:val="en-US" w:eastAsia="zh-CN"/>
        </w:rPr>
        <w:t>一</w:t>
      </w:r>
      <w:r>
        <w:rPr>
          <w:rFonts w:hint="default" w:eastAsia="宋体"/>
          <w:u w:val="none"/>
          <w:lang w:val="en-US" w:eastAsia="zh-CN"/>
        </w:rPr>
        <w:t>粒粒缀在旧绸子上的红宝石，在凄凉中愈发熠熠夺目。</w:t>
      </w:r>
      <w:r>
        <w:rPr>
          <w:rFonts w:hint="eastAsia" w:eastAsia="宋体"/>
          <w:u w:val="none"/>
          <w:lang w:val="en-US" w:eastAsia="zh-CN"/>
        </w:rPr>
        <w:t>（或添加主语“它”）</w:t>
      </w:r>
    </w:p>
    <w:p>
      <w:pPr>
        <w:widowControl w:val="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C             5.D             6.A</w:t>
      </w:r>
    </w:p>
    <w:p>
      <w:pPr>
        <w:widowControl w:val="0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</w:rPr>
        <w:t>二、阅读•鉴赏（72分）</w:t>
      </w:r>
    </w:p>
    <w:p>
      <w:pPr>
        <w:widowControl w:val="0"/>
        <w:jc w:val="both"/>
        <w:rPr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7.B    8. B    9.C     10.C       11.A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4"/>
          <w:u w:val="none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共6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auto"/>
          <w:szCs w:val="24"/>
          <w:u w:val="none"/>
        </w:rPr>
      </w:pPr>
      <w:r>
        <w:rPr>
          <w:rFonts w:ascii="宋体" w:hAnsi="宋体" w:eastAsia="宋体" w:cs="宋体"/>
          <w:color w:val="auto"/>
          <w:szCs w:val="24"/>
          <w:u w:val="none"/>
        </w:rPr>
        <w:t>（1）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穿戴着盔甲之将不行跪拜礼，请允许我按照军礼参见。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  <w:szCs w:val="24"/>
          <w:u w:val="none"/>
        </w:rPr>
      </w:pPr>
      <w:r>
        <w:rPr>
          <w:rFonts w:ascii="宋体" w:hAnsi="宋体" w:eastAsia="宋体" w:cs="宋体"/>
          <w:color w:val="auto"/>
          <w:szCs w:val="24"/>
          <w:u w:val="none"/>
        </w:rPr>
        <w:t>（2）皇族中的各个公侯没有人敢替他说话，只有袁盎证明绛侯无罪。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eastAsia="宋体" w:cs="宋体"/>
          <w:color w:val="auto"/>
          <w:szCs w:val="24"/>
          <w:u w:val="none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宋体"/>
          <w:color w:val="auto"/>
          <w:szCs w:val="24"/>
          <w:u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Cs w:val="24"/>
          <w:u w:val="none"/>
          <w:lang w:val="en-US" w:eastAsia="zh-CN"/>
        </w:rPr>
        <w:t>13</w:t>
      </w:r>
      <w:r>
        <w:rPr>
          <w:rFonts w:ascii="Times New Roman" w:hAnsi="Times New Roman" w:eastAsia="宋体" w:cs="宋体"/>
          <w:color w:val="auto"/>
          <w:szCs w:val="24"/>
          <w:u w:val="none"/>
        </w:rPr>
        <w:t xml:space="preserve">. </w:t>
      </w:r>
      <w:r>
        <w:rPr>
          <w:rFonts w:hint="eastAsia" w:ascii="Times New Roman" w:hAnsi="Times New Roman" w:eastAsia="宋体" w:cs="宋体"/>
          <w:color w:val="auto"/>
          <w:szCs w:val="24"/>
          <w:u w:val="none"/>
          <w:lang w:eastAsia="zh-CN"/>
        </w:rPr>
        <w:t>（</w:t>
      </w:r>
      <w:r>
        <w:rPr>
          <w:rFonts w:hint="eastAsia" w:ascii="Times New Roman" w:hAnsi="Times New Roman" w:eastAsia="宋体" w:cs="宋体"/>
          <w:color w:val="auto"/>
          <w:szCs w:val="24"/>
          <w:u w:val="none"/>
          <w:lang w:val="en-US" w:eastAsia="zh-CN"/>
        </w:rPr>
        <w:t>共4分</w:t>
      </w:r>
      <w:r>
        <w:rPr>
          <w:rFonts w:hint="eastAsia" w:ascii="Times New Roman" w:hAnsi="Times New Roman" w:eastAsia="宋体" w:cs="宋体"/>
          <w:color w:val="auto"/>
          <w:szCs w:val="24"/>
          <w:u w:val="none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auto"/>
          <w:szCs w:val="24"/>
          <w:u w:val="none"/>
        </w:rPr>
      </w:pPr>
      <w:r>
        <w:rPr>
          <w:rFonts w:ascii="宋体" w:hAnsi="宋体" w:eastAsia="宋体" w:cs="宋体"/>
          <w:color w:val="auto"/>
          <w:szCs w:val="24"/>
          <w:u w:val="none"/>
        </w:rPr>
        <w:t>从“将军亚夫持兵揖曰：‘介胄之士不拜，请以军礼见。’”可以看出周亚夫面对皇帝，他恪尽职守，刚正不阿，尽到将军的职责，坚守住仁、礼、义的大丈夫标准，“富贵不能淫”，称得上是真正的大丈夫。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Cs w:val="24"/>
          <w:u w:val="none"/>
        </w:rPr>
        <w:t>而丙文中的周勃做了丞相之后，便得意洋洋，且有骄主色。富贵便使他迷惑了，未能做到“富贵不能淫”，和周亚夫比较起来，就不如周亚夫有大丈夫</w:t>
      </w: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气概</w:t>
      </w:r>
      <w:r>
        <w:rPr>
          <w:rFonts w:ascii="宋体" w:hAnsi="宋体" w:eastAsia="宋体" w:cs="宋体"/>
          <w:color w:val="auto"/>
          <w:szCs w:val="24"/>
          <w:u w:val="none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(3分)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示例1:一个“压"字,把敌军人马众多、来势凶猛,以及交战双方力量悬殊、守军将士处境艰难等,淋漓尽致地揭示出来,也衬托出将士们临危不惧、视死如归的英雄气概。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示例2:这两句诗运用了比喻和夸张的修辞手法,渲染了敌军兵临城下的紧张气氛和危急形势。（任选一个角度赏析）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auto"/>
          <w:szCs w:val="24"/>
          <w:u w:val="none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宋体" w:hAnsi="宋体" w:eastAsia="宋体" w:cs="宋体"/>
          <w:color w:val="auto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分</w:t>
      </w:r>
      <w:r>
        <w:rPr>
          <w:rFonts w:hint="eastAsia" w:ascii="宋体" w:hAnsi="宋体" w:eastAsia="宋体" w:cs="宋体"/>
          <w:color w:val="auto"/>
          <w:szCs w:val="24"/>
          <w:u w:val="none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auto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“誓扫匈奴不顾身”与本诗中“提携玉龙为君死”意思相近。表现了将士们誓为朝廷效命、忠勇敢战的气概和献身精神。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15.（8分）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（1）夕日欲颓                  （2）夕阳西下几时回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ab/>
      </w:r>
      <w:r>
        <w:rPr>
          <w:rFonts w:hint="eastAsia" w:ascii="宋体" w:hAnsi="宋体" w:eastAsia="宋体" w:cs="宋体"/>
          <w:color w:val="auto"/>
          <w:szCs w:val="24"/>
          <w:u w:val="none"/>
        </w:rPr>
        <w:tab/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none"/>
          <w:lang w:val="en-US" w:eastAsia="zh-CN"/>
        </w:rPr>
        <w:t>学诗谩有惊人句</w:t>
      </w: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 xml:space="preserve">           （4）日暮乡关何处是     烟波江上使人愁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 xml:space="preserve">（5）东皋薄暮望   徙倚欲何依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(6)</w:t>
      </w:r>
      <w:r>
        <w:rPr>
          <w:rFonts w:hint="eastAsia" w:ascii="宋体" w:hAnsi="宋体" w:eastAsia="宋体" w:cs="宋体"/>
          <w:color w:val="auto"/>
          <w:szCs w:val="24"/>
          <w:u w:val="none"/>
          <w:lang w:val="en-US" w:eastAsia="zh-CN"/>
        </w:rPr>
        <w:t>常记溪亭日暮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16.</w:t>
      </w:r>
    </w:p>
    <w:p>
      <w:pPr>
        <w:pStyle w:val="2"/>
        <w:numPr>
          <w:ilvl w:val="0"/>
          <w:numId w:val="2"/>
        </w:numPr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  <w:t>（3分，每空1分）</w:t>
      </w:r>
    </w:p>
    <w:p>
      <w:pPr>
        <w:pStyle w:val="2"/>
        <w:numPr>
          <w:ilvl w:val="0"/>
          <w:numId w:val="0"/>
        </w:numPr>
        <w:ind w:firstLine="420" w:firstLineChars="200"/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>螳螂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>用不道德的方法去抢黑蚂蚁的幼虫放在家里喂养，等到</w:t>
      </w:r>
      <w:r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  <w:t>那些黑蚂蚁长大了以后，红蚂蚊就把黑蚂蚁当作奴隶。（言之成理即可） ③善于观察</w:t>
      </w:r>
    </w:p>
    <w:p>
      <w:pPr>
        <w:pStyle w:val="2"/>
        <w:numPr>
          <w:ilvl w:val="0"/>
          <w:numId w:val="3"/>
        </w:numPr>
      </w:pPr>
      <w:r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  <w:t>（4分）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结合书中的内容</w:t>
      </w:r>
      <w:r>
        <w:rPr>
          <w:rFonts w:hint="eastAsia" w:asciiTheme="minorEastAsia" w:hAnsiTheme="minorEastAsia" w:cstheme="minorEastAsia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eastAsia="宋体" w:cs="宋体"/>
          <w:color w:val="auto"/>
          <w:kern w:val="0"/>
          <w:sz w:val="21"/>
          <w:szCs w:val="21"/>
          <w:lang w:val="en-US" w:eastAsia="zh-CN"/>
        </w:rPr>
        <w:t>言之成理即可。</w:t>
      </w:r>
    </w:p>
    <w:p>
      <w:pPr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</w:p>
    <w:p>
      <w:pPr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①作者回忆了霜落之后外婆腌菜、晒菜的过程：②回想起村里孤寡老人临终挂念外婆腌制的水萝卜的情景：③想起了冬夜外婆用新稻草烧灰制作美味的糯米粽子；④忆起了用绿豆壳烧灰煮香糯的稀饭的画面。    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4分，每小题3分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从味觉入手，运用了“嫩嫩”“生生”“润润”等叠词，连用短句，运用了“酸得半夜想起来不吃一块就睡不着”的夸张手法，突出水萝卜美味可口，展现外婆腌制手艺的高超，表达了对外婆的赞美和怀念，语言口语化，亲切自然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使用拟人、比喻的修辞手法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将萝卜条比作江南划子，生动形象地刻画了萝卜条细长秀美的外形，极具文学色彩，“江南划子”语言典雅，回味无穷。“躺”字，拟人化，写出了萝卜晒在月光下的形态，表现了岁月的温和与恬静，表达了作者对这些美好记忆的眷恋和怀念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 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19.（4分）</w:t>
      </w:r>
    </w:p>
    <w:p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这个问句既承上阐释在海口的朋友腌不出外婆的味道，又引出外婆腌菜的独特的手艺（2分）；同时，也隐含着外婆对生活、对生命的无比的热爱，包括凝聚于外婆内心的对家人、对邻里的情感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</w:t>
      </w:r>
    </w:p>
    <w:p>
      <w:pPr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与味道酿制的不仅仅有内地真实的寒冷的温度，还有岁月的温度和爱的温度。儿时冬夜那月色皎洁、鸟儿呢喃、霜染大地、晚村寂寥的唯美画面，外婆用新稻草灰裹粽子，用绿豆壳灰煮稀饭的温馨情景，这一切的美好和温情都定格在我的记忆深处。外婆虽一生悲苦，却依旧热爱生活、热爱生命，给予了我温暖和力量，是我精神世界里最丰富的存在。这句话充分表达了成年后我对生命和食物的更深层理解，也传达着我对外婆的深深思念、感激和敬佩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言之成理即可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5"/>
        </w:numPr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（3分）</w:t>
      </w:r>
    </w:p>
    <w:p>
      <w:pPr>
        <w:numPr>
          <w:ilvl w:val="0"/>
          <w:numId w:val="0"/>
        </w:numPr>
        <w:spacing w:line="360" w:lineRule="auto"/>
        <w:ind w:leftChars="0" w:right="0" w:rightChars="0"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电子科技产品的诱惑；网络阅读、碎片化阅读的侵蚀；缺少与自己灵魂对话的空间和意识。</w:t>
      </w:r>
    </w:p>
    <w:p>
      <w:pPr>
        <w:numPr>
          <w:ilvl w:val="0"/>
          <w:numId w:val="5"/>
        </w:numPr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（2分）</w:t>
      </w:r>
    </w:p>
    <w:p>
      <w:pPr>
        <w:numPr>
          <w:ilvl w:val="0"/>
          <w:numId w:val="0"/>
        </w:numPr>
        <w:spacing w:line="360" w:lineRule="auto"/>
        <w:ind w:leftChars="0" w:right="0" w:rightChars="0"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他们教育我们，鼓励我们，要我们变得更好，更纯洁，更善良，对别人更有用。读文学作品唯一的目的（如果有目的的话），是陶冶我们的性情，开拓我们的精神空间。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23.（4分）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示例①：社会努力创造出浓郁的阅读氛围，能够使得人们远离浮躁、静下心来去鉴赏经典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②：阅读从小抓起，小学起就可开设名著阅读课，让老师引领着学生去品读名著，让学生真正领会名著中的经典之处。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言之成理即可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left"/>
        <w:textAlignment w:val="auto"/>
        <w:outlineLvl w:val="2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</w:rPr>
        <w:t>三、应用•写作（60分）</w:t>
      </w:r>
    </w:p>
    <w:p>
      <w:pPr>
        <w:keepNext w:val="0"/>
        <w:keepLines w:val="0"/>
        <w:pageBreakBefore w:val="0"/>
        <w:tabs>
          <w:tab w:val="left" w:pos="8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24.（10分）略。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25.（50分）略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附：作文评分标准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6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一类（50～45）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切合题意，中心突出，内容充实，感情真挚，结构完整，条理清晰，语言流畅，书写正确工整，文面整洁。记叙详略得当，过程描述具体，生动形象感人；议论观点和材料统一，言之有理，议论深刻透彻；说明能抓住特征，说明特征鲜明，顺序恰当。有文采。有创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二类（44～38）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符合题意，中心明确，内容较充实，感情真切，结构完整，条理清楚，语言通顺，书写正确，文面清楚。记叙有详有略，过程描述较具体；议论观点和材料基本统一，能自圆其说；说明基本抓住特征，顺序合理。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三类（37～30）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基本符合题意，中心基本明确，内容较单薄，感情基本真切，结构基本完整，条理基本清楚，语言基本通顺，书写清楚，文面基本清洁。记叙详略基本合理，过程描述不够具体；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四类（29～0）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偏离题意或文不对题，中心不够明确，内容贫乏，感情不够真切，结构不够完整，条理不够清楚，语病较多，字迹难辨，文面糊涂。记叙详略不当，过程描述不具体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附加标准</w:t>
            </w:r>
          </w:p>
        </w:tc>
        <w:tc>
          <w:tcPr>
            <w:tcW w:w="7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①错别字3个，扣1分，重现不计，最多扣3分。②字数不足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，可适当扣分；字数不足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可相应降级评分。③不写题目，扣2分。</w:t>
            </w:r>
          </w:p>
        </w:tc>
      </w:tr>
    </w:tbl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6DA12"/>
    <w:multiLevelType w:val="singleLevel"/>
    <w:tmpl w:val="ADA6DA1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25C2B92"/>
    <w:multiLevelType w:val="singleLevel"/>
    <w:tmpl w:val="425C2B92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3F663E0"/>
    <w:multiLevelType w:val="singleLevel"/>
    <w:tmpl w:val="43F663E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60A001C2"/>
    <w:multiLevelType w:val="singleLevel"/>
    <w:tmpl w:val="60A001C2"/>
    <w:lvl w:ilvl="0" w:tentative="0">
      <w:start w:val="20"/>
      <w:numFmt w:val="decimal"/>
      <w:suff w:val="nothing"/>
      <w:lvlText w:val="%1．"/>
      <w:lvlJc w:val="left"/>
    </w:lvl>
  </w:abstractNum>
  <w:abstractNum w:abstractNumId="4">
    <w:nsid w:val="6885164F"/>
    <w:multiLevelType w:val="singleLevel"/>
    <w:tmpl w:val="6885164F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56D1657C"/>
    <w:rsid w:val="004151FC"/>
    <w:rsid w:val="00C02FC6"/>
    <w:rsid w:val="064C75F3"/>
    <w:rsid w:val="27A23B57"/>
    <w:rsid w:val="2A765E36"/>
    <w:rsid w:val="2D021F09"/>
    <w:rsid w:val="3A7A0D1E"/>
    <w:rsid w:val="3D8245C2"/>
    <w:rsid w:val="3F88325F"/>
    <w:rsid w:val="45A13765"/>
    <w:rsid w:val="474204AE"/>
    <w:rsid w:val="4E192EE4"/>
    <w:rsid w:val="56D1657C"/>
    <w:rsid w:val="5C284A34"/>
    <w:rsid w:val="610A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2109</Words>
  <Characters>2170</Characters>
  <Lines>0</Lines>
  <Paragraphs>0</Paragraphs>
  <TotalTime>0</TotalTime>
  <ScaleCrop>false</ScaleCrop>
  <LinksUpToDate>false</LinksUpToDate>
  <CharactersWithSpaces>2295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2022-12-07T11:55:00Z</dcterms:created>
  <dc:creator>琼瑶</dc:creator>
  <cp:lastModifiedBy>admin</cp:lastModifiedBy>
  <dcterms:modified xsi:type="dcterms:W3CDTF">2023-06-15T06:40:21Z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D7F08FFF336F4EA4B48D5B7288D0E823_12</vt:lpwstr>
  </property>
</Properties>
</file>