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11899900</wp:posOffset>
            </wp:positionV>
            <wp:extent cx="355600" cy="4953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语文期中参考答案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 w:ascii="黑体" w:hAnsi="黑体" w:eastAsia="黑体" w:cs="黑体"/>
          <w:sz w:val="24"/>
        </w:rPr>
        <w:t>A   2.A    3.C    4.A    5.D</w:t>
      </w:r>
    </w:p>
    <w:p>
      <w:pPr>
        <w:rPr>
          <w:rFonts w:ascii="黑体" w:hAnsi="黑体" w:eastAsia="黑体" w:cs="黑体"/>
          <w:bCs/>
          <w:sz w:val="24"/>
        </w:rPr>
      </w:pPr>
      <w:r>
        <w:rPr>
          <w:rFonts w:hint="eastAsia"/>
        </w:rPr>
        <w:t>6.</w:t>
      </w:r>
      <w:r>
        <w:rPr>
          <w:rFonts w:hint="eastAsia" w:ascii="黑体" w:hAnsi="黑体" w:eastAsia="黑体" w:cs="黑体"/>
          <w:bCs/>
          <w:sz w:val="24"/>
        </w:rPr>
        <w:t xml:space="preserve"> （1）壮士十年归      （2）万里赴戎机</w:t>
      </w:r>
    </w:p>
    <w:p>
      <w:pPr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（3）谁家玉笛暗飞声    （4）弹琴复长啸</w:t>
      </w:r>
    </w:p>
    <w:p>
      <w:pPr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（5）杨花榆荚无才思</w:t>
      </w:r>
    </w:p>
    <w:p>
      <w:pPr>
        <w:rPr>
          <w:rFonts w:ascii="黑体" w:hAnsi="黑体" w:eastAsia="黑体" w:cs="黑体"/>
          <w:sz w:val="24"/>
          <w:szCs w:val="24"/>
        </w:rPr>
      </w:pPr>
      <w:r>
        <w:rPr>
          <w:rFonts w:hint="eastAsia"/>
        </w:rPr>
        <w:t>7.</w:t>
      </w:r>
      <w:r>
        <w:rPr>
          <w:rFonts w:hint="eastAsia" w:ascii="黑体" w:hAnsi="黑体" w:eastAsia="黑体" w:cs="黑体"/>
          <w:sz w:val="24"/>
          <w:szCs w:val="24"/>
        </w:rPr>
        <w:t xml:space="preserve"> ①我们只有建立起免疫屏障，占领“免疫高地”，才能更从容地拥抱世界。②从这个意义上说，让疫苗尽早地、更广地覆盖更多群众，就能有效预防未来可能出现的病毒传播。</w:t>
      </w:r>
    </w:p>
    <w:p>
      <w:pPr>
        <w:pStyle w:val="2"/>
        <w:jc w:val="lef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8. 示例①：鲁迅曾经说过“无穷的远方，无数的人们，都和我有关”。张爷爷，抗疫是全球性问题，没有哪个国家能够独自应对，也没有哪个国家能够退回到自我封闭的孤岛。所以，帮助其他国家是必要的。示例②：张爷爷，“国家兴亡，匹夫有责”，事不关己的态度将导致问题更加复杂，唯有采取共同行动，承担共同责任，构建人类命运共同体，为各国解决全球性问题才是必然选择。 </w:t>
      </w:r>
    </w:p>
    <w:p>
      <w:pPr>
        <w:pStyle w:val="2"/>
        <w:jc w:val="lef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9.略</w:t>
      </w:r>
    </w:p>
    <w:p>
      <w:pPr>
        <w:pStyle w:val="2"/>
        <w:jc w:val="lef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szCs w:val="24"/>
        </w:rPr>
        <w:t>10.</w:t>
      </w:r>
      <w:r>
        <w:rPr>
          <w:rFonts w:hint="eastAsia" w:ascii="黑体" w:hAnsi="黑体" w:eastAsia="黑体" w:cs="黑体"/>
          <w:sz w:val="24"/>
        </w:rPr>
        <w:t xml:space="preserve"> 惊喜     赞美     期待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11. （1）运用比喻、拟人的修辞手法，把木槿叶子比作绿波，赋予木槿花孩童的情态，表现了木槿活泼、坚实的生命状态，表达了作者的欣喜及对木槿的欣赏之情。</w:t>
      </w:r>
    </w:p>
    <w:p>
      <w:pPr>
        <w:ind w:firstLine="480" w:firstLineChars="20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（2）欲扬先抑。文中先说它的不起眼，被轻视，然而写它后面的经历：荒草丛中，依然绽放；水泥、砖块重压之下，它坚强绽放。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12. ①木槿花平凡而奇特，娇嫩却顽强；②重压之下艰难挣扎，勇敢面对一切苦难；③使惶恐中的作者拥有幻想，丢掉悲伤，留住梦想。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13.D    14.C    15.C</w:t>
      </w:r>
    </w:p>
    <w:p>
      <w:pPr>
        <w:pStyle w:val="9"/>
        <w:widowControl w:val="0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16.</w:t>
      </w:r>
    </w:p>
    <w:p>
      <w:pPr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（1）你现在当权掌管事务，不可以不学习！</w:t>
      </w:r>
    </w:p>
    <w:p>
      <w:pPr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（2）只是应当粗略地阅读，了解历史罢了。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17.C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18. 离开长安已经好多天了，回头一望，只觉长路漫漫，尘烟蔽天。诗人又思念起家乡和亲人，不禁掩面抽泣，泪水很快就沾湿了双袖。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19. 1.A</w:t>
      </w:r>
    </w:p>
    <w:p>
      <w:pPr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20. （1）示例：虎妞因难产而死。为了埋葬虎妞，祥子只好把第三辆车卖了，经过三起三落，祥子逐渐失去了希望。情节示例：虎妞假装怀孕；虎妞和“父亲”彻底吵翻；虎妞“下嫁”祥子（虎妞掏钱为祥子买车等）。</w:t>
      </w:r>
    </w:p>
    <w:p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黑体" w:hAnsi="黑体" w:eastAsia="黑体" w:cs="黑体"/>
          <w:sz w:val="24"/>
        </w:rPr>
        <w:t>（2）示例：造成祥子悲剧的根源一是社会的黑暗腐败，二是祥子仅仅靠个人奋斗。感受：经过“三起三落”后，祥子买车的愿望终成泡影，这反映在那个万恶的旧社会，善良的人没有出路，依靠个人奋斗不能通向幸福，只会通向更加悲惨的命运。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阅卷安排</w:t>
      </w:r>
    </w:p>
    <w:p>
      <w:pPr>
        <w:rPr>
          <w:rFonts w:hint="eastAsia"/>
        </w:rPr>
      </w:pPr>
      <w:r>
        <w:rPr>
          <w:rFonts w:hint="eastAsia"/>
        </w:rPr>
        <w:t>罗梅、王维娜   6、21</w:t>
      </w:r>
    </w:p>
    <w:p>
      <w:pPr>
        <w:rPr>
          <w:rFonts w:hint="eastAsia"/>
        </w:rPr>
      </w:pPr>
      <w:r>
        <w:rPr>
          <w:rFonts w:hint="eastAsia"/>
        </w:rPr>
        <w:t>詹红           7、8、9</w:t>
      </w:r>
    </w:p>
    <w:p>
      <w:pPr>
        <w:rPr>
          <w:rFonts w:hint="eastAsia"/>
        </w:rPr>
      </w:pPr>
      <w:r>
        <w:rPr>
          <w:rFonts w:hint="eastAsia"/>
        </w:rPr>
        <w:t>唐松           10、11、12</w:t>
      </w:r>
    </w:p>
    <w:p>
      <w:r>
        <w:rPr>
          <w:rFonts w:hint="eastAsia"/>
        </w:rPr>
        <w:t>余敏           16、18、20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568D7"/>
    <w:multiLevelType w:val="multilevel"/>
    <w:tmpl w:val="314568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340B"/>
    <w:rsid w:val="00340092"/>
    <w:rsid w:val="003D1E36"/>
    <w:rsid w:val="004151FC"/>
    <w:rsid w:val="0047678E"/>
    <w:rsid w:val="0070340B"/>
    <w:rsid w:val="007E0BA3"/>
    <w:rsid w:val="00C02FC6"/>
    <w:rsid w:val="00D0763B"/>
    <w:rsid w:val="6997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ascii="Calibri" w:hAnsi="Calibri" w:eastAsia="宋体" w:cs="Times New Roman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正文文本 Char"/>
    <w:basedOn w:val="5"/>
    <w:link w:val="2"/>
    <w:uiPriority w:val="0"/>
    <w:rPr>
      <w:rFonts w:ascii="Calibri" w:hAnsi="Calibri" w:eastAsia="宋体" w:cs="Times New Roman"/>
    </w:rPr>
  </w:style>
  <w:style w:type="paragraph" w:customStyle="1" w:styleId="9">
    <w:name w:val="[系统文字]"/>
    <w:qFormat/>
    <w:uiPriority w:val="0"/>
    <w:pPr>
      <w:jc w:val="both"/>
    </w:pPr>
    <w:rPr>
      <w:rFonts w:ascii="Calibri" w:hAnsi="NEU-BZ" w:eastAsia="宋体" w:cs="Times New Roman"/>
      <w:kern w:val="0"/>
      <w:sz w:val="22"/>
      <w:szCs w:val="22"/>
      <w:lang w:val="en-US" w:eastAsia="zh-CN" w:bidi="ar-SA"/>
    </w:rPr>
  </w:style>
  <w:style w:type="character" w:customStyle="1" w:styleId="10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862</Characters>
  <Lines>7</Lines>
  <Paragraphs>2</Paragraphs>
  <TotalTime>15</TotalTime>
  <ScaleCrop>false</ScaleCrop>
  <LinksUpToDate>false</LinksUpToDate>
  <CharactersWithSpaces>1011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2023-04-14T09:16:00Z</dcterms:created>
  <dc:creator>thunder</dc:creator>
  <cp:lastModifiedBy>Administrator</cp:lastModifiedBy>
  <dcterms:modified xsi:type="dcterms:W3CDTF">2023-06-30T11:22:05Z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