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11290300</wp:posOffset>
            </wp:positionV>
            <wp:extent cx="2921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九年级课堂练习答案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1-6.  CBCDBC   7-12. CACDCC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13.振动   声源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14.（1）3.5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 xml:space="preserve">   电磁波  （2）光   可再生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15.紫外线  不停地做无规则运动   带电体能吸引轻小物体   形状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16.变大  1.6  上浮  1.5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17.4000  100  200  80%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18.加热  60.5  1:3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19.A  减小  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20.（略）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21.（1）A处向上  （2）98  温度不变，继续吸热     M处温度低，水蒸气更易液化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22.（1）等大  （2）右  幻灯机  （3）近视  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23.（1）茶色  垂直   三角板  （2）AC  BC  PQ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24.（1）不能 （2）直接  （3）左  161.6    3.16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 xml:space="preserve">    仍然准确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25.（1）水平   弹簧测力计的示数  （2）毛巾、棉布  （3） A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eastAsia="Times New Roman"/>
        </w:r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26.（1）略   （2）D  （3）连接电路时开关未断开   （4）右   0.75  （5）</w:t>
      </w:r>
      <w:r>
        <w:rPr>
          <w:rFonts w:eastAsia="Times New Roman"/>
        </w:rPr>
        <w:t>&lt;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（6）B   （7）曲线交点处的电压之和不等于4V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Cs w:val="21"/>
          <w:vertAlign w:val="baseline"/>
          <w:lang w:val="en-US" w:eastAsia="zh-CN"/>
        </w:rPr>
      </w:pPr>
      <w:r>
        <w:rPr>
          <w:rFonts w:hint="eastAsia" w:eastAsia="宋体"/>
          <w:lang w:val="en-US" w:eastAsia="zh-CN"/>
        </w:rPr>
        <w:t>27.（1）</w:t>
      </w: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4.2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 xml:space="preserve">  （2）2</w:t>
      </w:r>
      <w:r>
        <w:rPr>
          <w:rFonts w:hint="eastAsia" w:ascii="宋体" w:hAnsi="宋体" w:eastAsia="宋体" w:cs="宋体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 xml:space="preserve">  （3）40%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Cs w:val="21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Cs w:val="21"/>
          <w:vertAlign w:val="baseline"/>
          <w:lang w:val="en-US" w:eastAsia="zh-CN"/>
        </w:rPr>
        <w:t>28.（1）重心高度  （2）低   （3）ce  高  （4）后   （5）不能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3ZGFkZmY4NzRlOGI3YWYxN2FjOTdmZTMxM2E3MWIifQ=="/>
  </w:docVars>
  <w:rsids>
    <w:rsidRoot w:val="2AB6248E"/>
    <w:rsid w:val="004151FC"/>
    <w:rsid w:val="00C02FC6"/>
    <w:rsid w:val="2AB6248E"/>
    <w:rsid w:val="4C67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2023-03-20T15:43:00Z</dcterms:created>
  <dc:creator>玩勿丧志</dc:creator>
  <cp:lastModifiedBy>Administrator</cp:lastModifiedBy>
  <dcterms:modified xsi:type="dcterms:W3CDTF">2023-08-09T13:07:50Z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